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3341" w14:textId="7BD91681" w:rsidR="00A26320" w:rsidRPr="00C371BD" w:rsidRDefault="00A26320" w:rsidP="005179C8">
      <w:pPr>
        <w:jc w:val="center"/>
      </w:pPr>
    </w:p>
    <w:p w14:paraId="52413F35" w14:textId="23D891CA" w:rsidR="003B3F79" w:rsidRPr="00C83B30" w:rsidRDefault="003B3F79" w:rsidP="005179C8">
      <w:pPr>
        <w:jc w:val="center"/>
        <w:rPr>
          <w:sz w:val="24"/>
          <w:szCs w:val="24"/>
        </w:rPr>
      </w:pPr>
      <w:r w:rsidRPr="00C83B30">
        <w:rPr>
          <w:noProof/>
          <w:sz w:val="24"/>
          <w:szCs w:val="24"/>
        </w:rPr>
        <w:drawing>
          <wp:inline distT="0" distB="0" distL="0" distR="0" wp14:anchorId="4D4374F0" wp14:editId="2FE9F0FB">
            <wp:extent cx="1057275" cy="101917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a:fillRect/>
                    </a:stretch>
                  </pic:blipFill>
                  <pic:spPr>
                    <a:xfrm>
                      <a:off x="0" y="0"/>
                      <a:ext cx="1057275" cy="1019175"/>
                    </a:xfrm>
                    <a:prstGeom prst="rect">
                      <a:avLst/>
                    </a:prstGeom>
                  </pic:spPr>
                </pic:pic>
              </a:graphicData>
            </a:graphic>
          </wp:inline>
        </w:drawing>
      </w:r>
    </w:p>
    <w:p w14:paraId="465DBC7D" w14:textId="5BC24CBE" w:rsidR="003B3F79" w:rsidRPr="00C83B30" w:rsidRDefault="003B3F79" w:rsidP="005179C8">
      <w:pPr>
        <w:jc w:val="center"/>
        <w:rPr>
          <w:sz w:val="24"/>
          <w:szCs w:val="24"/>
        </w:rPr>
      </w:pPr>
    </w:p>
    <w:p w14:paraId="4E94D66E" w14:textId="77777777" w:rsidR="003B3F79" w:rsidRPr="00C83B30" w:rsidRDefault="003B3F79" w:rsidP="005179C8">
      <w:pPr>
        <w:jc w:val="center"/>
        <w:rPr>
          <w:b/>
          <w:bCs/>
          <w:sz w:val="24"/>
          <w:szCs w:val="24"/>
        </w:rPr>
      </w:pPr>
      <w:r w:rsidRPr="00C83B30">
        <w:rPr>
          <w:b/>
          <w:bCs/>
          <w:sz w:val="24"/>
          <w:szCs w:val="24"/>
        </w:rPr>
        <w:t>STATE OF NEVADA</w:t>
      </w:r>
    </w:p>
    <w:p w14:paraId="00C40865" w14:textId="15D68EF5" w:rsidR="003B3F79" w:rsidRPr="00C83B30" w:rsidRDefault="00C83B30" w:rsidP="005179C8">
      <w:pPr>
        <w:jc w:val="center"/>
        <w:rPr>
          <w:b/>
          <w:bCs/>
          <w:sz w:val="24"/>
          <w:szCs w:val="24"/>
        </w:rPr>
      </w:pPr>
      <w:r w:rsidRPr="00C83B30">
        <w:rPr>
          <w:b/>
          <w:bCs/>
          <w:sz w:val="24"/>
          <w:szCs w:val="24"/>
        </w:rPr>
        <w:t>Office of the State Treasurer</w:t>
      </w:r>
    </w:p>
    <w:p w14:paraId="7B82C176" w14:textId="16299420" w:rsidR="003B3F79" w:rsidRPr="00C83B30" w:rsidRDefault="00C83B30" w:rsidP="005179C8">
      <w:pPr>
        <w:jc w:val="center"/>
        <w:rPr>
          <w:b/>
          <w:bCs/>
          <w:sz w:val="24"/>
          <w:szCs w:val="24"/>
        </w:rPr>
      </w:pPr>
      <w:r w:rsidRPr="00C83B30">
        <w:rPr>
          <w:b/>
          <w:bCs/>
          <w:sz w:val="24"/>
          <w:szCs w:val="24"/>
        </w:rPr>
        <w:t>101</w:t>
      </w:r>
      <w:r w:rsidR="003B3F79" w:rsidRPr="00C83B30">
        <w:rPr>
          <w:b/>
          <w:bCs/>
          <w:sz w:val="24"/>
          <w:szCs w:val="24"/>
        </w:rPr>
        <w:t xml:space="preserve"> </w:t>
      </w:r>
      <w:r w:rsidRPr="00C83B30">
        <w:rPr>
          <w:b/>
          <w:bCs/>
          <w:sz w:val="24"/>
          <w:szCs w:val="24"/>
        </w:rPr>
        <w:t>North</w:t>
      </w:r>
      <w:r w:rsidR="003B3F79" w:rsidRPr="00C83B30">
        <w:rPr>
          <w:b/>
          <w:bCs/>
          <w:sz w:val="24"/>
          <w:szCs w:val="24"/>
        </w:rPr>
        <w:t xml:space="preserve"> </w:t>
      </w:r>
      <w:r w:rsidRPr="00C83B30">
        <w:rPr>
          <w:b/>
          <w:bCs/>
          <w:sz w:val="24"/>
          <w:szCs w:val="24"/>
        </w:rPr>
        <w:t>Carson</w:t>
      </w:r>
      <w:r w:rsidR="003B3F79" w:rsidRPr="00C83B30">
        <w:rPr>
          <w:b/>
          <w:bCs/>
          <w:sz w:val="24"/>
          <w:szCs w:val="24"/>
        </w:rPr>
        <w:t xml:space="preserve"> Street, Suite </w:t>
      </w:r>
      <w:r w:rsidRPr="00C83B30">
        <w:rPr>
          <w:b/>
          <w:bCs/>
          <w:sz w:val="24"/>
          <w:szCs w:val="24"/>
        </w:rPr>
        <w:t>4</w:t>
      </w:r>
      <w:r w:rsidR="003B3F79" w:rsidRPr="00C83B30">
        <w:rPr>
          <w:b/>
          <w:bCs/>
          <w:sz w:val="24"/>
          <w:szCs w:val="24"/>
        </w:rPr>
        <w:t>00 │ Carson City, NV 89701</w:t>
      </w:r>
    </w:p>
    <w:p w14:paraId="6244C39A" w14:textId="643B527F" w:rsidR="003B3F79" w:rsidRPr="00C83B30" w:rsidRDefault="003B3F79" w:rsidP="005179C8">
      <w:pPr>
        <w:jc w:val="center"/>
        <w:rPr>
          <w:b/>
          <w:bCs/>
          <w:sz w:val="24"/>
          <w:szCs w:val="24"/>
        </w:rPr>
      </w:pPr>
      <w:r w:rsidRPr="00C83B30">
        <w:rPr>
          <w:b/>
          <w:bCs/>
          <w:sz w:val="24"/>
          <w:szCs w:val="24"/>
        </w:rPr>
        <w:t>Phone:</w:t>
      </w:r>
      <w:r w:rsidR="00976775" w:rsidRPr="00C83B30">
        <w:rPr>
          <w:b/>
          <w:bCs/>
          <w:sz w:val="24"/>
          <w:szCs w:val="24"/>
        </w:rPr>
        <w:t xml:space="preserve"> </w:t>
      </w:r>
      <w:r w:rsidRPr="00C83B30">
        <w:rPr>
          <w:b/>
          <w:bCs/>
          <w:sz w:val="24"/>
          <w:szCs w:val="24"/>
        </w:rPr>
        <w:t>775-684-</w:t>
      </w:r>
      <w:r w:rsidR="00C83B30" w:rsidRPr="00C83B30">
        <w:rPr>
          <w:b/>
          <w:bCs/>
          <w:sz w:val="24"/>
          <w:szCs w:val="24"/>
        </w:rPr>
        <w:t>5797</w:t>
      </w:r>
      <w:r w:rsidRPr="00C83B30">
        <w:rPr>
          <w:b/>
          <w:bCs/>
          <w:sz w:val="24"/>
          <w:szCs w:val="24"/>
        </w:rPr>
        <w:t xml:space="preserve"> │ Fax:</w:t>
      </w:r>
      <w:r w:rsidR="00976775" w:rsidRPr="00C83B30">
        <w:rPr>
          <w:b/>
          <w:bCs/>
          <w:sz w:val="24"/>
          <w:szCs w:val="24"/>
        </w:rPr>
        <w:t xml:space="preserve"> </w:t>
      </w:r>
      <w:r w:rsidRPr="00C83B30">
        <w:rPr>
          <w:b/>
          <w:bCs/>
          <w:sz w:val="24"/>
          <w:szCs w:val="24"/>
        </w:rPr>
        <w:t>775-684-</w:t>
      </w:r>
      <w:r w:rsidR="00C83B30" w:rsidRPr="00C83B30">
        <w:rPr>
          <w:b/>
          <w:bCs/>
          <w:sz w:val="24"/>
          <w:szCs w:val="24"/>
        </w:rPr>
        <w:t>5776</w:t>
      </w:r>
    </w:p>
    <w:p w14:paraId="0310DA5E" w14:textId="77777777" w:rsidR="003B3F79" w:rsidRPr="00C83B30" w:rsidRDefault="003B3F79" w:rsidP="005179C8">
      <w:pPr>
        <w:jc w:val="center"/>
        <w:rPr>
          <w:sz w:val="24"/>
          <w:szCs w:val="24"/>
        </w:rPr>
      </w:pPr>
    </w:p>
    <w:p w14:paraId="3895FF72" w14:textId="0CF745FB" w:rsidR="003B3F79" w:rsidRPr="00C83B30" w:rsidRDefault="003B3F79" w:rsidP="005179C8">
      <w:pPr>
        <w:jc w:val="center"/>
        <w:rPr>
          <w:sz w:val="24"/>
          <w:szCs w:val="24"/>
        </w:rPr>
      </w:pPr>
    </w:p>
    <w:p w14:paraId="054473A5" w14:textId="61B4FC26" w:rsidR="002934F0" w:rsidRPr="00C83B30" w:rsidRDefault="00D12E1A" w:rsidP="005179C8">
      <w:pPr>
        <w:jc w:val="center"/>
        <w:rPr>
          <w:sz w:val="24"/>
          <w:szCs w:val="24"/>
        </w:rPr>
      </w:pPr>
      <w:r w:rsidRPr="00C83B30">
        <w:rPr>
          <w:sz w:val="24"/>
          <w:szCs w:val="24"/>
        </w:rPr>
        <w:t>Solicitation</w:t>
      </w:r>
      <w:r w:rsidR="002934F0" w:rsidRPr="00C83B30">
        <w:rPr>
          <w:sz w:val="24"/>
          <w:szCs w:val="24"/>
        </w:rPr>
        <w:t>:</w:t>
      </w:r>
      <w:r w:rsidR="00976775" w:rsidRPr="00C83B30">
        <w:rPr>
          <w:sz w:val="24"/>
          <w:szCs w:val="24"/>
        </w:rPr>
        <w:t xml:space="preserve"> </w:t>
      </w:r>
      <w:r w:rsidR="009F1D10">
        <w:rPr>
          <w:b/>
          <w:bCs/>
          <w:sz w:val="24"/>
          <w:szCs w:val="24"/>
        </w:rPr>
        <w:t>BDC</w:t>
      </w:r>
      <w:r w:rsidR="00C83B30" w:rsidRPr="00C83B30">
        <w:rPr>
          <w:b/>
          <w:bCs/>
          <w:sz w:val="24"/>
          <w:szCs w:val="24"/>
        </w:rPr>
        <w:t>2024</w:t>
      </w:r>
    </w:p>
    <w:p w14:paraId="54E63840" w14:textId="53089180" w:rsidR="002934F0" w:rsidRPr="00C83B30" w:rsidRDefault="002934F0" w:rsidP="005179C8">
      <w:pPr>
        <w:jc w:val="center"/>
        <w:rPr>
          <w:sz w:val="24"/>
          <w:szCs w:val="24"/>
        </w:rPr>
      </w:pPr>
      <w:r w:rsidRPr="00C83B30">
        <w:rPr>
          <w:sz w:val="24"/>
          <w:szCs w:val="24"/>
        </w:rPr>
        <w:t>For</w:t>
      </w:r>
    </w:p>
    <w:p w14:paraId="6C09ACE3" w14:textId="2B1E6A02" w:rsidR="002934F0" w:rsidRPr="00C83B30" w:rsidRDefault="009F1D10" w:rsidP="005179C8">
      <w:pPr>
        <w:jc w:val="center"/>
        <w:rPr>
          <w:b/>
          <w:bCs/>
          <w:sz w:val="36"/>
          <w:szCs w:val="36"/>
        </w:rPr>
      </w:pPr>
      <w:r>
        <w:rPr>
          <w:b/>
          <w:bCs/>
          <w:sz w:val="36"/>
          <w:szCs w:val="36"/>
        </w:rPr>
        <w:t>BOND AND DISCLOSURE COUNSEL</w:t>
      </w:r>
      <w:r w:rsidR="00C83B30" w:rsidRPr="00C83B30">
        <w:rPr>
          <w:b/>
          <w:bCs/>
          <w:sz w:val="36"/>
          <w:szCs w:val="36"/>
        </w:rPr>
        <w:t xml:space="preserve"> SERVICES</w:t>
      </w:r>
    </w:p>
    <w:p w14:paraId="04499821" w14:textId="77777777" w:rsidR="003B3F79" w:rsidRPr="00C83B30" w:rsidRDefault="003B3F79" w:rsidP="005179C8">
      <w:pPr>
        <w:jc w:val="center"/>
        <w:rPr>
          <w:sz w:val="24"/>
          <w:szCs w:val="24"/>
        </w:rPr>
      </w:pPr>
    </w:p>
    <w:p w14:paraId="4461C066" w14:textId="75D15831" w:rsidR="002934F0" w:rsidRPr="007C7573" w:rsidRDefault="002934F0" w:rsidP="007C7573">
      <w:pPr>
        <w:jc w:val="center"/>
        <w:rPr>
          <w:b/>
          <w:bCs/>
          <w:sz w:val="28"/>
          <w:szCs w:val="28"/>
        </w:rPr>
      </w:pPr>
      <w:r w:rsidRPr="00C83B30">
        <w:rPr>
          <w:sz w:val="28"/>
          <w:szCs w:val="28"/>
        </w:rPr>
        <w:t>Release Date:</w:t>
      </w:r>
      <w:r w:rsidR="00C83B30" w:rsidRPr="00C83B30">
        <w:rPr>
          <w:sz w:val="28"/>
          <w:szCs w:val="28"/>
        </w:rPr>
        <w:t xml:space="preserve"> </w:t>
      </w:r>
      <w:r w:rsidR="00C83B30" w:rsidRPr="00C83B30">
        <w:rPr>
          <w:b/>
          <w:bCs/>
          <w:sz w:val="28"/>
          <w:szCs w:val="28"/>
        </w:rPr>
        <w:t>March 1</w:t>
      </w:r>
      <w:r w:rsidR="007C7573">
        <w:rPr>
          <w:b/>
          <w:bCs/>
          <w:sz w:val="28"/>
          <w:szCs w:val="28"/>
        </w:rPr>
        <w:t>2</w:t>
      </w:r>
      <w:r w:rsidR="00C83B30" w:rsidRPr="00C83B30">
        <w:rPr>
          <w:b/>
          <w:bCs/>
          <w:sz w:val="28"/>
          <w:szCs w:val="28"/>
        </w:rPr>
        <w:t>, 2024</w:t>
      </w:r>
    </w:p>
    <w:p w14:paraId="2B985DCC" w14:textId="12B2694C" w:rsidR="003B3F79" w:rsidRPr="00C83B30" w:rsidRDefault="002934F0" w:rsidP="005179C8">
      <w:pPr>
        <w:jc w:val="center"/>
        <w:rPr>
          <w:sz w:val="28"/>
          <w:szCs w:val="28"/>
        </w:rPr>
      </w:pPr>
      <w:r w:rsidRPr="00C83B30">
        <w:rPr>
          <w:sz w:val="28"/>
          <w:szCs w:val="28"/>
        </w:rPr>
        <w:t>Deadline for Submission and Opening Date and Time:</w:t>
      </w:r>
      <w:r w:rsidR="00411933" w:rsidRPr="00C83B30">
        <w:rPr>
          <w:sz w:val="28"/>
          <w:szCs w:val="28"/>
        </w:rPr>
        <w:t xml:space="preserve"> </w:t>
      </w:r>
      <w:r w:rsidR="00C83B30" w:rsidRPr="00C83B30">
        <w:rPr>
          <w:b/>
          <w:bCs/>
          <w:sz w:val="28"/>
          <w:szCs w:val="28"/>
        </w:rPr>
        <w:t>May 10, 2024</w:t>
      </w:r>
      <w:r w:rsidRPr="00C83B30">
        <w:rPr>
          <w:b/>
          <w:bCs/>
          <w:sz w:val="28"/>
          <w:szCs w:val="28"/>
        </w:rPr>
        <w:t xml:space="preserve"> @ </w:t>
      </w:r>
      <w:r w:rsidR="000A5C45" w:rsidRPr="00C83B30">
        <w:rPr>
          <w:b/>
          <w:bCs/>
          <w:sz w:val="28"/>
          <w:szCs w:val="28"/>
        </w:rPr>
        <w:t>2:00</w:t>
      </w:r>
      <w:r w:rsidRPr="00C83B30">
        <w:rPr>
          <w:b/>
          <w:bCs/>
          <w:sz w:val="28"/>
          <w:szCs w:val="28"/>
        </w:rPr>
        <w:t xml:space="preserve"> pm</w:t>
      </w:r>
    </w:p>
    <w:p w14:paraId="7430DFB8" w14:textId="77777777" w:rsidR="002934F0" w:rsidRPr="00C83B30" w:rsidRDefault="002934F0" w:rsidP="005179C8">
      <w:pPr>
        <w:jc w:val="center"/>
        <w:rPr>
          <w:sz w:val="28"/>
          <w:szCs w:val="28"/>
        </w:rPr>
      </w:pPr>
    </w:p>
    <w:p w14:paraId="5F4EFDAD" w14:textId="58B6D8A8" w:rsidR="002934F0" w:rsidRDefault="008357FE" w:rsidP="005179C8">
      <w:pPr>
        <w:jc w:val="center"/>
        <w:rPr>
          <w:sz w:val="28"/>
          <w:szCs w:val="28"/>
        </w:rPr>
      </w:pPr>
      <w:r w:rsidRPr="00C83B30">
        <w:rPr>
          <w:sz w:val="28"/>
          <w:szCs w:val="28"/>
        </w:rPr>
        <w:t xml:space="preserve">Single point of contact for the </w:t>
      </w:r>
      <w:r w:rsidR="00D12E1A" w:rsidRPr="00C83B30">
        <w:rPr>
          <w:sz w:val="28"/>
          <w:szCs w:val="28"/>
        </w:rPr>
        <w:t>solicitation</w:t>
      </w:r>
      <w:r w:rsidR="002934F0" w:rsidRPr="00C83B30">
        <w:rPr>
          <w:sz w:val="28"/>
          <w:szCs w:val="28"/>
        </w:rPr>
        <w:t>:</w:t>
      </w:r>
    </w:p>
    <w:p w14:paraId="3BB402E8" w14:textId="77777777" w:rsidR="00C83B30" w:rsidRPr="00C83B30" w:rsidRDefault="00C83B30" w:rsidP="005179C8">
      <w:pPr>
        <w:jc w:val="center"/>
        <w:rPr>
          <w:sz w:val="28"/>
          <w:szCs w:val="28"/>
        </w:rPr>
      </w:pPr>
    </w:p>
    <w:p w14:paraId="5C974CA5" w14:textId="74A03EB5" w:rsidR="002934F0" w:rsidRPr="00C83B30" w:rsidRDefault="00C83B30" w:rsidP="005179C8">
      <w:pPr>
        <w:jc w:val="center"/>
        <w:rPr>
          <w:b/>
          <w:bCs/>
          <w:sz w:val="28"/>
          <w:szCs w:val="28"/>
        </w:rPr>
      </w:pPr>
      <w:r w:rsidRPr="00C83B30">
        <w:rPr>
          <w:b/>
          <w:bCs/>
          <w:sz w:val="28"/>
          <w:szCs w:val="28"/>
        </w:rPr>
        <w:t>Jean Oliver, Management Analyst III</w:t>
      </w:r>
    </w:p>
    <w:p w14:paraId="77ECED79" w14:textId="277C8B49" w:rsidR="002934F0" w:rsidRPr="00C83B30" w:rsidRDefault="002934F0" w:rsidP="005179C8">
      <w:pPr>
        <w:jc w:val="center"/>
        <w:rPr>
          <w:sz w:val="28"/>
          <w:szCs w:val="28"/>
        </w:rPr>
      </w:pPr>
      <w:r w:rsidRPr="00C83B30">
        <w:rPr>
          <w:sz w:val="28"/>
          <w:szCs w:val="28"/>
        </w:rPr>
        <w:t>Phone</w:t>
      </w:r>
      <w:r w:rsidR="00C83B30" w:rsidRPr="00C83B30">
        <w:rPr>
          <w:sz w:val="28"/>
          <w:szCs w:val="28"/>
        </w:rPr>
        <w:t>:</w:t>
      </w:r>
      <w:r w:rsidR="008357FE" w:rsidRPr="00C83B30">
        <w:rPr>
          <w:sz w:val="28"/>
          <w:szCs w:val="28"/>
        </w:rPr>
        <w:t xml:space="preserve"> </w:t>
      </w:r>
      <w:r w:rsidR="00C83B30" w:rsidRPr="00C83B30">
        <w:rPr>
          <w:sz w:val="28"/>
          <w:szCs w:val="28"/>
        </w:rPr>
        <w:t>775-684-5631</w:t>
      </w:r>
    </w:p>
    <w:p w14:paraId="0E02F26B" w14:textId="02295336" w:rsidR="003B3F79" w:rsidRPr="00C83B30" w:rsidRDefault="002934F0" w:rsidP="005179C8">
      <w:pPr>
        <w:jc w:val="center"/>
        <w:rPr>
          <w:sz w:val="28"/>
          <w:szCs w:val="28"/>
        </w:rPr>
      </w:pPr>
      <w:r w:rsidRPr="00C83B30">
        <w:rPr>
          <w:sz w:val="28"/>
          <w:szCs w:val="28"/>
        </w:rPr>
        <w:t>Email Address</w:t>
      </w:r>
      <w:r w:rsidR="00C83B30" w:rsidRPr="00C83B30">
        <w:rPr>
          <w:sz w:val="28"/>
          <w:szCs w:val="28"/>
        </w:rPr>
        <w:t>: jeoliver@nevadatreasurer.gov</w:t>
      </w:r>
    </w:p>
    <w:p w14:paraId="61E5CC8A" w14:textId="423D0497" w:rsidR="00305BC0" w:rsidRPr="00C83B30" w:rsidRDefault="00305BC0" w:rsidP="005179C8">
      <w:pPr>
        <w:jc w:val="center"/>
        <w:rPr>
          <w:sz w:val="24"/>
          <w:szCs w:val="24"/>
        </w:rPr>
      </w:pPr>
    </w:p>
    <w:p w14:paraId="6485C15B" w14:textId="24669622" w:rsidR="00D91DEB" w:rsidRPr="00C83B30" w:rsidRDefault="00D91DEB" w:rsidP="005179C8">
      <w:pPr>
        <w:jc w:val="center"/>
        <w:rPr>
          <w:sz w:val="24"/>
          <w:szCs w:val="24"/>
        </w:rPr>
      </w:pPr>
    </w:p>
    <w:p w14:paraId="0E9A6C5F" w14:textId="553C4011" w:rsidR="00B330D9" w:rsidRPr="00C83B30" w:rsidRDefault="00B330D9" w:rsidP="005179C8">
      <w:pPr>
        <w:jc w:val="center"/>
        <w:rPr>
          <w:sz w:val="24"/>
          <w:szCs w:val="24"/>
        </w:rPr>
      </w:pPr>
    </w:p>
    <w:p w14:paraId="0372B7ED" w14:textId="6306BA37" w:rsidR="00B330D9" w:rsidRDefault="00B330D9" w:rsidP="005179C8">
      <w:pPr>
        <w:jc w:val="center"/>
        <w:rPr>
          <w:sz w:val="24"/>
          <w:szCs w:val="24"/>
        </w:rPr>
      </w:pPr>
    </w:p>
    <w:p w14:paraId="16D78867" w14:textId="77777777" w:rsidR="00C83B30" w:rsidRDefault="00C83B30" w:rsidP="005179C8">
      <w:pPr>
        <w:jc w:val="center"/>
        <w:rPr>
          <w:sz w:val="24"/>
          <w:szCs w:val="24"/>
        </w:rPr>
      </w:pPr>
    </w:p>
    <w:p w14:paraId="27630CE2" w14:textId="77777777" w:rsidR="00C83B30" w:rsidRDefault="00C83B30" w:rsidP="005179C8">
      <w:pPr>
        <w:jc w:val="center"/>
        <w:rPr>
          <w:sz w:val="24"/>
          <w:szCs w:val="24"/>
        </w:rPr>
      </w:pPr>
    </w:p>
    <w:p w14:paraId="68EE6D80" w14:textId="77777777" w:rsidR="00C83B30" w:rsidRDefault="00C83B30" w:rsidP="005179C8">
      <w:pPr>
        <w:jc w:val="center"/>
        <w:rPr>
          <w:sz w:val="24"/>
          <w:szCs w:val="24"/>
        </w:rPr>
      </w:pPr>
    </w:p>
    <w:p w14:paraId="757682CE" w14:textId="77777777" w:rsidR="00C83B30" w:rsidRDefault="00C83B30" w:rsidP="005179C8">
      <w:pPr>
        <w:jc w:val="center"/>
        <w:rPr>
          <w:sz w:val="24"/>
          <w:szCs w:val="24"/>
        </w:rPr>
      </w:pPr>
    </w:p>
    <w:p w14:paraId="34045C09" w14:textId="77777777" w:rsidR="00C83B30" w:rsidRPr="00C83B30" w:rsidRDefault="00C83B30" w:rsidP="005179C8">
      <w:pPr>
        <w:jc w:val="center"/>
        <w:rPr>
          <w:sz w:val="24"/>
          <w:szCs w:val="24"/>
        </w:rPr>
      </w:pPr>
    </w:p>
    <w:p w14:paraId="1422B5E3" w14:textId="12A87A24" w:rsidR="00B330D9" w:rsidRPr="00C83B30" w:rsidRDefault="00B330D9" w:rsidP="005179C8">
      <w:pPr>
        <w:jc w:val="center"/>
        <w:rPr>
          <w:sz w:val="24"/>
          <w:szCs w:val="24"/>
        </w:rPr>
      </w:pPr>
    </w:p>
    <w:p w14:paraId="64628527" w14:textId="329B0D59" w:rsidR="00B330D9" w:rsidRPr="00C83B30" w:rsidRDefault="00B330D9" w:rsidP="005179C8">
      <w:pPr>
        <w:jc w:val="center"/>
        <w:rPr>
          <w:sz w:val="24"/>
          <w:szCs w:val="24"/>
        </w:rPr>
      </w:pPr>
    </w:p>
    <w:p w14:paraId="015BE38E" w14:textId="3D35785B" w:rsidR="00B330D9" w:rsidRPr="00C83B30" w:rsidRDefault="00B330D9" w:rsidP="005179C8">
      <w:pPr>
        <w:jc w:val="center"/>
        <w:rPr>
          <w:sz w:val="24"/>
          <w:szCs w:val="24"/>
        </w:rPr>
      </w:pPr>
    </w:p>
    <w:p w14:paraId="4757169F" w14:textId="730BB5B7" w:rsidR="00B330D9" w:rsidRDefault="00B330D9" w:rsidP="005179C8">
      <w:pPr>
        <w:jc w:val="center"/>
        <w:rPr>
          <w:sz w:val="24"/>
          <w:szCs w:val="24"/>
        </w:rPr>
      </w:pPr>
    </w:p>
    <w:p w14:paraId="52593B25" w14:textId="77777777" w:rsidR="00C83B30" w:rsidRDefault="00C83B30" w:rsidP="005179C8">
      <w:pPr>
        <w:jc w:val="center"/>
        <w:rPr>
          <w:sz w:val="24"/>
          <w:szCs w:val="24"/>
        </w:rPr>
      </w:pPr>
    </w:p>
    <w:p w14:paraId="3C901B3B" w14:textId="77777777" w:rsidR="00C83B30" w:rsidRDefault="00C83B30" w:rsidP="005179C8">
      <w:pPr>
        <w:jc w:val="center"/>
        <w:rPr>
          <w:sz w:val="24"/>
          <w:szCs w:val="24"/>
        </w:rPr>
      </w:pPr>
    </w:p>
    <w:p w14:paraId="3DF44A64" w14:textId="77777777" w:rsidR="00C83B30" w:rsidRDefault="00C83B30" w:rsidP="005179C8">
      <w:pPr>
        <w:jc w:val="center"/>
        <w:rPr>
          <w:sz w:val="24"/>
          <w:szCs w:val="24"/>
        </w:rPr>
      </w:pPr>
    </w:p>
    <w:p w14:paraId="496A320E" w14:textId="77777777" w:rsidR="00C83B30" w:rsidRDefault="00C83B30" w:rsidP="005179C8">
      <w:pPr>
        <w:jc w:val="center"/>
        <w:rPr>
          <w:sz w:val="24"/>
          <w:szCs w:val="24"/>
        </w:rPr>
      </w:pPr>
    </w:p>
    <w:p w14:paraId="003A48C2" w14:textId="77777777" w:rsidR="00C83B30" w:rsidRDefault="00C83B30" w:rsidP="005179C8">
      <w:pPr>
        <w:jc w:val="center"/>
        <w:rPr>
          <w:sz w:val="24"/>
          <w:szCs w:val="24"/>
        </w:rPr>
      </w:pPr>
    </w:p>
    <w:p w14:paraId="18500949" w14:textId="77777777" w:rsidR="00C83B30" w:rsidRDefault="00C83B30" w:rsidP="005179C8">
      <w:pPr>
        <w:jc w:val="center"/>
        <w:rPr>
          <w:sz w:val="24"/>
          <w:szCs w:val="24"/>
        </w:rPr>
      </w:pPr>
    </w:p>
    <w:p w14:paraId="594392A3" w14:textId="77777777" w:rsidR="00C83B30" w:rsidRDefault="00C83B30" w:rsidP="005179C8">
      <w:pPr>
        <w:jc w:val="center"/>
        <w:rPr>
          <w:sz w:val="24"/>
          <w:szCs w:val="24"/>
        </w:rPr>
      </w:pPr>
    </w:p>
    <w:p w14:paraId="66885CEE" w14:textId="77777777" w:rsidR="00C83B30" w:rsidRDefault="00C83B30" w:rsidP="005179C8">
      <w:pPr>
        <w:jc w:val="center"/>
        <w:rPr>
          <w:sz w:val="24"/>
          <w:szCs w:val="24"/>
        </w:rPr>
      </w:pPr>
    </w:p>
    <w:p w14:paraId="01F038C4" w14:textId="77777777" w:rsidR="00C83B30" w:rsidRPr="00C83B30" w:rsidRDefault="00C83B30" w:rsidP="005179C8">
      <w:pPr>
        <w:jc w:val="center"/>
        <w:rPr>
          <w:sz w:val="24"/>
          <w:szCs w:val="24"/>
        </w:rPr>
      </w:pPr>
    </w:p>
    <w:p w14:paraId="23471329" w14:textId="77777777" w:rsidR="00B330D9" w:rsidRPr="00C83B30" w:rsidRDefault="00B330D9" w:rsidP="005179C8">
      <w:pPr>
        <w:jc w:val="center"/>
        <w:rPr>
          <w:sz w:val="24"/>
          <w:szCs w:val="24"/>
        </w:rPr>
      </w:pPr>
    </w:p>
    <w:p w14:paraId="7A57ABE1" w14:textId="7827D1B4" w:rsidR="00D91DEB" w:rsidRPr="00C83B30" w:rsidRDefault="00D91DEB" w:rsidP="005179C8">
      <w:pPr>
        <w:jc w:val="center"/>
        <w:rPr>
          <w:sz w:val="24"/>
          <w:szCs w:val="24"/>
        </w:rPr>
      </w:pPr>
      <w:r w:rsidRPr="00C83B30">
        <w:rPr>
          <w:sz w:val="24"/>
          <w:szCs w:val="24"/>
        </w:rPr>
        <w:lastRenderedPageBreak/>
        <w:t>TABLE OF CONTENTS</w:t>
      </w:r>
    </w:p>
    <w:p w14:paraId="2AA4D86F" w14:textId="110FDF7C" w:rsidR="003839CC" w:rsidRPr="00C83B30" w:rsidRDefault="003839CC" w:rsidP="00E869AA">
      <w:pPr>
        <w:rPr>
          <w:sz w:val="24"/>
          <w:szCs w:val="24"/>
        </w:rPr>
      </w:pPr>
    </w:p>
    <w:p w14:paraId="28FD64A0" w14:textId="72EBD7FA" w:rsidR="003839CC" w:rsidRPr="00C83B30" w:rsidRDefault="003839CC" w:rsidP="003B1ECB">
      <w:pPr>
        <w:rPr>
          <w:sz w:val="24"/>
          <w:szCs w:val="24"/>
        </w:rPr>
      </w:pPr>
    </w:p>
    <w:p w14:paraId="6643BF38" w14:textId="53DEE7AB" w:rsidR="00AC3D38" w:rsidRDefault="0028370B">
      <w:pPr>
        <w:pStyle w:val="TOC1"/>
        <w:tabs>
          <w:tab w:val="right" w:leader="dot" w:pos="10214"/>
        </w:tabs>
        <w:rPr>
          <w:rFonts w:asciiTheme="minorHAnsi" w:eastAsiaTheme="minorEastAsia" w:hAnsiTheme="minorHAnsi" w:cstheme="minorBidi"/>
          <w:noProof/>
          <w:kern w:val="2"/>
          <w:sz w:val="22"/>
          <w:szCs w:val="22"/>
          <w14:ligatures w14:val="standardContextual"/>
        </w:rPr>
      </w:pPr>
      <w:r w:rsidRPr="00C83B30">
        <w:rPr>
          <w:sz w:val="24"/>
          <w:szCs w:val="24"/>
        </w:rPr>
        <w:fldChar w:fldCharType="begin"/>
      </w:r>
      <w:r w:rsidRPr="00C83B30">
        <w:rPr>
          <w:sz w:val="24"/>
          <w:szCs w:val="24"/>
        </w:rPr>
        <w:instrText xml:space="preserve"> TOC \o "1-1" \h \z \u </w:instrText>
      </w:r>
      <w:r w:rsidRPr="00C83B30">
        <w:rPr>
          <w:sz w:val="24"/>
          <w:szCs w:val="24"/>
        </w:rPr>
        <w:fldChar w:fldCharType="separate"/>
      </w:r>
      <w:hyperlink w:anchor="_Toc160719735" w:history="1">
        <w:r w:rsidR="00AC3D38" w:rsidRPr="009E47B8">
          <w:rPr>
            <w:rStyle w:val="Hyperlink"/>
            <w:noProof/>
          </w:rPr>
          <w:t>1.</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APPLICABLE REGULATIONS GOVERNING PROCUREMENT</w:t>
        </w:r>
        <w:r w:rsidR="00AC3D38">
          <w:rPr>
            <w:noProof/>
            <w:webHidden/>
          </w:rPr>
          <w:tab/>
        </w:r>
        <w:r w:rsidR="00AC3D38">
          <w:rPr>
            <w:noProof/>
            <w:webHidden/>
          </w:rPr>
          <w:fldChar w:fldCharType="begin"/>
        </w:r>
        <w:r w:rsidR="00AC3D38">
          <w:rPr>
            <w:noProof/>
            <w:webHidden/>
          </w:rPr>
          <w:instrText xml:space="preserve"> PAGEREF _Toc160719735 \h </w:instrText>
        </w:r>
        <w:r w:rsidR="00AC3D38">
          <w:rPr>
            <w:noProof/>
            <w:webHidden/>
          </w:rPr>
        </w:r>
        <w:r w:rsidR="00AC3D38">
          <w:rPr>
            <w:noProof/>
            <w:webHidden/>
          </w:rPr>
          <w:fldChar w:fldCharType="separate"/>
        </w:r>
        <w:r w:rsidR="00AC3D38">
          <w:rPr>
            <w:noProof/>
            <w:webHidden/>
          </w:rPr>
          <w:t>3</w:t>
        </w:r>
        <w:r w:rsidR="00AC3D38">
          <w:rPr>
            <w:noProof/>
            <w:webHidden/>
          </w:rPr>
          <w:fldChar w:fldCharType="end"/>
        </w:r>
      </w:hyperlink>
    </w:p>
    <w:p w14:paraId="500BBAA8" w14:textId="2F934743"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36" w:history="1">
        <w:r w:rsidR="00AC3D38" w:rsidRPr="009E47B8">
          <w:rPr>
            <w:rStyle w:val="Hyperlink"/>
            <w:noProof/>
          </w:rPr>
          <w:t>2.</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PROJECT OVERVIEW</w:t>
        </w:r>
        <w:r w:rsidR="00AC3D38">
          <w:rPr>
            <w:noProof/>
            <w:webHidden/>
          </w:rPr>
          <w:tab/>
        </w:r>
        <w:r w:rsidR="00AC3D38">
          <w:rPr>
            <w:noProof/>
            <w:webHidden/>
          </w:rPr>
          <w:fldChar w:fldCharType="begin"/>
        </w:r>
        <w:r w:rsidR="00AC3D38">
          <w:rPr>
            <w:noProof/>
            <w:webHidden/>
          </w:rPr>
          <w:instrText xml:space="preserve"> PAGEREF _Toc160719736 \h </w:instrText>
        </w:r>
        <w:r w:rsidR="00AC3D38">
          <w:rPr>
            <w:noProof/>
            <w:webHidden/>
          </w:rPr>
        </w:r>
        <w:r w:rsidR="00AC3D38">
          <w:rPr>
            <w:noProof/>
            <w:webHidden/>
          </w:rPr>
          <w:fldChar w:fldCharType="separate"/>
        </w:r>
        <w:r w:rsidR="00AC3D38">
          <w:rPr>
            <w:noProof/>
            <w:webHidden/>
          </w:rPr>
          <w:t>3</w:t>
        </w:r>
        <w:r w:rsidR="00AC3D38">
          <w:rPr>
            <w:noProof/>
            <w:webHidden/>
          </w:rPr>
          <w:fldChar w:fldCharType="end"/>
        </w:r>
      </w:hyperlink>
    </w:p>
    <w:p w14:paraId="6D04ADC6" w14:textId="1A215D1E"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37" w:history="1">
        <w:r w:rsidR="00AC3D38" w:rsidRPr="009E47B8">
          <w:rPr>
            <w:rStyle w:val="Hyperlink"/>
            <w:noProof/>
          </w:rPr>
          <w:t>3.</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SCOPE OF WORK</w:t>
        </w:r>
        <w:r w:rsidR="00AC3D38">
          <w:rPr>
            <w:noProof/>
            <w:webHidden/>
          </w:rPr>
          <w:tab/>
        </w:r>
        <w:r w:rsidR="00AC3D38">
          <w:rPr>
            <w:noProof/>
            <w:webHidden/>
          </w:rPr>
          <w:fldChar w:fldCharType="begin"/>
        </w:r>
        <w:r w:rsidR="00AC3D38">
          <w:rPr>
            <w:noProof/>
            <w:webHidden/>
          </w:rPr>
          <w:instrText xml:space="preserve"> PAGEREF _Toc160719737 \h </w:instrText>
        </w:r>
        <w:r w:rsidR="00AC3D38">
          <w:rPr>
            <w:noProof/>
            <w:webHidden/>
          </w:rPr>
        </w:r>
        <w:r w:rsidR="00AC3D38">
          <w:rPr>
            <w:noProof/>
            <w:webHidden/>
          </w:rPr>
          <w:fldChar w:fldCharType="separate"/>
        </w:r>
        <w:r w:rsidR="00AC3D38">
          <w:rPr>
            <w:noProof/>
            <w:webHidden/>
          </w:rPr>
          <w:t>5</w:t>
        </w:r>
        <w:r w:rsidR="00AC3D38">
          <w:rPr>
            <w:noProof/>
            <w:webHidden/>
          </w:rPr>
          <w:fldChar w:fldCharType="end"/>
        </w:r>
      </w:hyperlink>
    </w:p>
    <w:p w14:paraId="678B7099" w14:textId="7BA701D7"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38" w:history="1">
        <w:r w:rsidR="00AC3D38" w:rsidRPr="009E47B8">
          <w:rPr>
            <w:rStyle w:val="Hyperlink"/>
            <w:noProof/>
          </w:rPr>
          <w:t>4.</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QUALIFYING CRITERIA</w:t>
        </w:r>
        <w:r w:rsidR="00AC3D38">
          <w:rPr>
            <w:noProof/>
            <w:webHidden/>
          </w:rPr>
          <w:tab/>
        </w:r>
        <w:r w:rsidR="00AC3D38">
          <w:rPr>
            <w:noProof/>
            <w:webHidden/>
          </w:rPr>
          <w:fldChar w:fldCharType="begin"/>
        </w:r>
        <w:r w:rsidR="00AC3D38">
          <w:rPr>
            <w:noProof/>
            <w:webHidden/>
          </w:rPr>
          <w:instrText xml:space="preserve"> PAGEREF _Toc160719738 \h </w:instrText>
        </w:r>
        <w:r w:rsidR="00AC3D38">
          <w:rPr>
            <w:noProof/>
            <w:webHidden/>
          </w:rPr>
        </w:r>
        <w:r w:rsidR="00AC3D38">
          <w:rPr>
            <w:noProof/>
            <w:webHidden/>
          </w:rPr>
          <w:fldChar w:fldCharType="separate"/>
        </w:r>
        <w:r w:rsidR="00AC3D38">
          <w:rPr>
            <w:noProof/>
            <w:webHidden/>
          </w:rPr>
          <w:t>10</w:t>
        </w:r>
        <w:r w:rsidR="00AC3D38">
          <w:rPr>
            <w:noProof/>
            <w:webHidden/>
          </w:rPr>
          <w:fldChar w:fldCharType="end"/>
        </w:r>
      </w:hyperlink>
    </w:p>
    <w:p w14:paraId="6B6B9E88" w14:textId="6AF0CE9B"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39" w:history="1">
        <w:r w:rsidR="00AC3D38" w:rsidRPr="009E47B8">
          <w:rPr>
            <w:rStyle w:val="Hyperlink"/>
            <w:noProof/>
          </w:rPr>
          <w:t>5.</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CERTIFICATION</w:t>
        </w:r>
        <w:r w:rsidR="00AC3D38">
          <w:rPr>
            <w:noProof/>
            <w:webHidden/>
          </w:rPr>
          <w:tab/>
        </w:r>
        <w:r w:rsidR="00AC3D38">
          <w:rPr>
            <w:noProof/>
            <w:webHidden/>
          </w:rPr>
          <w:fldChar w:fldCharType="begin"/>
        </w:r>
        <w:r w:rsidR="00AC3D38">
          <w:rPr>
            <w:noProof/>
            <w:webHidden/>
          </w:rPr>
          <w:instrText xml:space="preserve"> PAGEREF _Toc160719739 \h </w:instrText>
        </w:r>
        <w:r w:rsidR="00AC3D38">
          <w:rPr>
            <w:noProof/>
            <w:webHidden/>
          </w:rPr>
        </w:r>
        <w:r w:rsidR="00AC3D38">
          <w:rPr>
            <w:noProof/>
            <w:webHidden/>
          </w:rPr>
          <w:fldChar w:fldCharType="separate"/>
        </w:r>
        <w:r w:rsidR="00AC3D38">
          <w:rPr>
            <w:noProof/>
            <w:webHidden/>
          </w:rPr>
          <w:t>10</w:t>
        </w:r>
        <w:r w:rsidR="00AC3D38">
          <w:rPr>
            <w:noProof/>
            <w:webHidden/>
          </w:rPr>
          <w:fldChar w:fldCharType="end"/>
        </w:r>
      </w:hyperlink>
    </w:p>
    <w:p w14:paraId="1AADB867" w14:textId="38F2F0C7"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40" w:history="1">
        <w:r w:rsidR="00AC3D38" w:rsidRPr="009E47B8">
          <w:rPr>
            <w:rStyle w:val="Hyperlink"/>
            <w:noProof/>
          </w:rPr>
          <w:t>6.</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ATTACHMENTS</w:t>
        </w:r>
        <w:r w:rsidR="00AC3D38">
          <w:rPr>
            <w:noProof/>
            <w:webHidden/>
          </w:rPr>
          <w:tab/>
        </w:r>
        <w:r w:rsidR="00AC3D38">
          <w:rPr>
            <w:noProof/>
            <w:webHidden/>
          </w:rPr>
          <w:fldChar w:fldCharType="begin"/>
        </w:r>
        <w:r w:rsidR="00AC3D38">
          <w:rPr>
            <w:noProof/>
            <w:webHidden/>
          </w:rPr>
          <w:instrText xml:space="preserve"> PAGEREF _Toc160719740 \h </w:instrText>
        </w:r>
        <w:r w:rsidR="00AC3D38">
          <w:rPr>
            <w:noProof/>
            <w:webHidden/>
          </w:rPr>
        </w:r>
        <w:r w:rsidR="00AC3D38">
          <w:rPr>
            <w:noProof/>
            <w:webHidden/>
          </w:rPr>
          <w:fldChar w:fldCharType="separate"/>
        </w:r>
        <w:r w:rsidR="00AC3D38">
          <w:rPr>
            <w:noProof/>
            <w:webHidden/>
          </w:rPr>
          <w:t>12</w:t>
        </w:r>
        <w:r w:rsidR="00AC3D38">
          <w:rPr>
            <w:noProof/>
            <w:webHidden/>
          </w:rPr>
          <w:fldChar w:fldCharType="end"/>
        </w:r>
      </w:hyperlink>
    </w:p>
    <w:p w14:paraId="1587F79A" w14:textId="382D2779"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41" w:history="1">
        <w:r w:rsidR="00AC3D38" w:rsidRPr="009E47B8">
          <w:rPr>
            <w:rStyle w:val="Hyperlink"/>
            <w:noProof/>
          </w:rPr>
          <w:t>7.</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TIMELINE</w:t>
        </w:r>
        <w:r w:rsidR="00AC3D38">
          <w:rPr>
            <w:noProof/>
            <w:webHidden/>
          </w:rPr>
          <w:tab/>
        </w:r>
        <w:r w:rsidR="00AC3D38">
          <w:rPr>
            <w:noProof/>
            <w:webHidden/>
          </w:rPr>
          <w:fldChar w:fldCharType="begin"/>
        </w:r>
        <w:r w:rsidR="00AC3D38">
          <w:rPr>
            <w:noProof/>
            <w:webHidden/>
          </w:rPr>
          <w:instrText xml:space="preserve"> PAGEREF _Toc160719741 \h </w:instrText>
        </w:r>
        <w:r w:rsidR="00AC3D38">
          <w:rPr>
            <w:noProof/>
            <w:webHidden/>
          </w:rPr>
        </w:r>
        <w:r w:rsidR="00AC3D38">
          <w:rPr>
            <w:noProof/>
            <w:webHidden/>
          </w:rPr>
          <w:fldChar w:fldCharType="separate"/>
        </w:r>
        <w:r w:rsidR="00AC3D38">
          <w:rPr>
            <w:noProof/>
            <w:webHidden/>
          </w:rPr>
          <w:t>13</w:t>
        </w:r>
        <w:r w:rsidR="00AC3D38">
          <w:rPr>
            <w:noProof/>
            <w:webHidden/>
          </w:rPr>
          <w:fldChar w:fldCharType="end"/>
        </w:r>
      </w:hyperlink>
    </w:p>
    <w:p w14:paraId="1C327A8E" w14:textId="46D0056D"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42" w:history="1">
        <w:r w:rsidR="00AC3D38" w:rsidRPr="009E47B8">
          <w:rPr>
            <w:rStyle w:val="Hyperlink"/>
            <w:noProof/>
          </w:rPr>
          <w:t>8.</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EVALUATION</w:t>
        </w:r>
        <w:r w:rsidR="00AC3D38">
          <w:rPr>
            <w:noProof/>
            <w:webHidden/>
          </w:rPr>
          <w:tab/>
        </w:r>
        <w:r w:rsidR="00AC3D38">
          <w:rPr>
            <w:noProof/>
            <w:webHidden/>
          </w:rPr>
          <w:fldChar w:fldCharType="begin"/>
        </w:r>
        <w:r w:rsidR="00AC3D38">
          <w:rPr>
            <w:noProof/>
            <w:webHidden/>
          </w:rPr>
          <w:instrText xml:space="preserve"> PAGEREF _Toc160719742 \h </w:instrText>
        </w:r>
        <w:r w:rsidR="00AC3D38">
          <w:rPr>
            <w:noProof/>
            <w:webHidden/>
          </w:rPr>
        </w:r>
        <w:r w:rsidR="00AC3D38">
          <w:rPr>
            <w:noProof/>
            <w:webHidden/>
          </w:rPr>
          <w:fldChar w:fldCharType="separate"/>
        </w:r>
        <w:r w:rsidR="00AC3D38">
          <w:rPr>
            <w:noProof/>
            <w:webHidden/>
          </w:rPr>
          <w:t>13</w:t>
        </w:r>
        <w:r w:rsidR="00AC3D38">
          <w:rPr>
            <w:noProof/>
            <w:webHidden/>
          </w:rPr>
          <w:fldChar w:fldCharType="end"/>
        </w:r>
      </w:hyperlink>
    </w:p>
    <w:p w14:paraId="5794687C" w14:textId="7CDCAFA1"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43" w:history="1">
        <w:r w:rsidR="00AC3D38" w:rsidRPr="009E47B8">
          <w:rPr>
            <w:rStyle w:val="Hyperlink"/>
            <w:noProof/>
          </w:rPr>
          <w:t>9.</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MANDATORY MINIMUM REQUIREMENTS</w:t>
        </w:r>
        <w:r w:rsidR="00AC3D38">
          <w:rPr>
            <w:noProof/>
            <w:webHidden/>
          </w:rPr>
          <w:tab/>
        </w:r>
        <w:r w:rsidR="00AC3D38">
          <w:rPr>
            <w:noProof/>
            <w:webHidden/>
          </w:rPr>
          <w:fldChar w:fldCharType="begin"/>
        </w:r>
        <w:r w:rsidR="00AC3D38">
          <w:rPr>
            <w:noProof/>
            <w:webHidden/>
          </w:rPr>
          <w:instrText xml:space="preserve"> PAGEREF _Toc160719743 \h </w:instrText>
        </w:r>
        <w:r w:rsidR="00AC3D38">
          <w:rPr>
            <w:noProof/>
            <w:webHidden/>
          </w:rPr>
        </w:r>
        <w:r w:rsidR="00AC3D38">
          <w:rPr>
            <w:noProof/>
            <w:webHidden/>
          </w:rPr>
          <w:fldChar w:fldCharType="separate"/>
        </w:r>
        <w:r w:rsidR="00AC3D38">
          <w:rPr>
            <w:noProof/>
            <w:webHidden/>
          </w:rPr>
          <w:t>14</w:t>
        </w:r>
        <w:r w:rsidR="00AC3D38">
          <w:rPr>
            <w:noProof/>
            <w:webHidden/>
          </w:rPr>
          <w:fldChar w:fldCharType="end"/>
        </w:r>
      </w:hyperlink>
    </w:p>
    <w:p w14:paraId="73794126" w14:textId="690D28CC"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44" w:history="1">
        <w:r w:rsidR="00AC3D38" w:rsidRPr="009E47B8">
          <w:rPr>
            <w:rStyle w:val="Hyperlink"/>
            <w:noProof/>
          </w:rPr>
          <w:t>10.</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CRITICAL ITEMS</w:t>
        </w:r>
        <w:r w:rsidR="00AC3D38">
          <w:rPr>
            <w:noProof/>
            <w:webHidden/>
          </w:rPr>
          <w:tab/>
        </w:r>
        <w:r w:rsidR="00AC3D38">
          <w:rPr>
            <w:noProof/>
            <w:webHidden/>
          </w:rPr>
          <w:fldChar w:fldCharType="begin"/>
        </w:r>
        <w:r w:rsidR="00AC3D38">
          <w:rPr>
            <w:noProof/>
            <w:webHidden/>
          </w:rPr>
          <w:instrText xml:space="preserve"> PAGEREF _Toc160719744 \h </w:instrText>
        </w:r>
        <w:r w:rsidR="00AC3D38">
          <w:rPr>
            <w:noProof/>
            <w:webHidden/>
          </w:rPr>
        </w:r>
        <w:r w:rsidR="00AC3D38">
          <w:rPr>
            <w:noProof/>
            <w:webHidden/>
          </w:rPr>
          <w:fldChar w:fldCharType="separate"/>
        </w:r>
        <w:r w:rsidR="00AC3D38">
          <w:rPr>
            <w:noProof/>
            <w:webHidden/>
          </w:rPr>
          <w:t>16</w:t>
        </w:r>
        <w:r w:rsidR="00AC3D38">
          <w:rPr>
            <w:noProof/>
            <w:webHidden/>
          </w:rPr>
          <w:fldChar w:fldCharType="end"/>
        </w:r>
      </w:hyperlink>
    </w:p>
    <w:p w14:paraId="0DC5426C" w14:textId="23279E20" w:rsidR="00AC3D38" w:rsidRDefault="007C7573">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9745" w:history="1">
        <w:r w:rsidR="00AC3D38" w:rsidRPr="009E47B8">
          <w:rPr>
            <w:rStyle w:val="Hyperlink"/>
            <w:noProof/>
          </w:rPr>
          <w:t>11.</w:t>
        </w:r>
        <w:r w:rsidR="00AC3D38">
          <w:rPr>
            <w:rFonts w:asciiTheme="minorHAnsi" w:eastAsiaTheme="minorEastAsia" w:hAnsiTheme="minorHAnsi" w:cstheme="minorBidi"/>
            <w:noProof/>
            <w:kern w:val="2"/>
            <w:sz w:val="22"/>
            <w:szCs w:val="22"/>
            <w14:ligatures w14:val="standardContextual"/>
          </w:rPr>
          <w:tab/>
        </w:r>
        <w:r w:rsidR="00AC3D38" w:rsidRPr="009E47B8">
          <w:rPr>
            <w:rStyle w:val="Hyperlink"/>
            <w:noProof/>
          </w:rPr>
          <w:t>SUBMISSION CHECKLIST</w:t>
        </w:r>
        <w:r w:rsidR="00AC3D38">
          <w:rPr>
            <w:noProof/>
            <w:webHidden/>
          </w:rPr>
          <w:tab/>
        </w:r>
        <w:r w:rsidR="00AC3D38">
          <w:rPr>
            <w:noProof/>
            <w:webHidden/>
          </w:rPr>
          <w:fldChar w:fldCharType="begin"/>
        </w:r>
        <w:r w:rsidR="00AC3D38">
          <w:rPr>
            <w:noProof/>
            <w:webHidden/>
          </w:rPr>
          <w:instrText xml:space="preserve"> PAGEREF _Toc160719745 \h </w:instrText>
        </w:r>
        <w:r w:rsidR="00AC3D38">
          <w:rPr>
            <w:noProof/>
            <w:webHidden/>
          </w:rPr>
        </w:r>
        <w:r w:rsidR="00AC3D38">
          <w:rPr>
            <w:noProof/>
            <w:webHidden/>
          </w:rPr>
          <w:fldChar w:fldCharType="separate"/>
        </w:r>
        <w:r w:rsidR="00AC3D38">
          <w:rPr>
            <w:noProof/>
            <w:webHidden/>
          </w:rPr>
          <w:t>17</w:t>
        </w:r>
        <w:r w:rsidR="00AC3D38">
          <w:rPr>
            <w:noProof/>
            <w:webHidden/>
          </w:rPr>
          <w:fldChar w:fldCharType="end"/>
        </w:r>
      </w:hyperlink>
    </w:p>
    <w:p w14:paraId="1069BF31" w14:textId="6391E733" w:rsidR="00D91DEB" w:rsidRPr="00C83B30" w:rsidRDefault="0028370B" w:rsidP="003A716F">
      <w:pPr>
        <w:ind w:left="720" w:hanging="720"/>
        <w:rPr>
          <w:sz w:val="24"/>
          <w:szCs w:val="24"/>
        </w:rPr>
      </w:pPr>
      <w:r w:rsidRPr="00C83B30">
        <w:rPr>
          <w:sz w:val="24"/>
          <w:szCs w:val="24"/>
        </w:rPr>
        <w:fldChar w:fldCharType="end"/>
      </w:r>
    </w:p>
    <w:p w14:paraId="362CACF2" w14:textId="03601CC8" w:rsidR="00D91DEB" w:rsidRPr="00C83B30" w:rsidRDefault="00D91DEB" w:rsidP="00A33A03">
      <w:pPr>
        <w:rPr>
          <w:sz w:val="24"/>
          <w:szCs w:val="24"/>
        </w:rPr>
      </w:pPr>
      <w:r w:rsidRPr="00C83B30">
        <w:rPr>
          <w:sz w:val="24"/>
          <w:szCs w:val="24"/>
        </w:rPr>
        <w:br w:type="page"/>
      </w:r>
    </w:p>
    <w:p w14:paraId="76903BDE" w14:textId="77777777" w:rsidR="00D91DEB" w:rsidRPr="00C83B30" w:rsidRDefault="00D91DEB" w:rsidP="00C371BD">
      <w:pPr>
        <w:rPr>
          <w:sz w:val="24"/>
          <w:szCs w:val="24"/>
        </w:rPr>
      </w:pPr>
    </w:p>
    <w:p w14:paraId="75F5834C" w14:textId="3A8BA8B0" w:rsidR="00D91DEB" w:rsidRPr="00155376" w:rsidRDefault="002B64E4" w:rsidP="00A33A03">
      <w:pPr>
        <w:pStyle w:val="Heading1"/>
        <w:rPr>
          <w:rFonts w:ascii="Times New Roman" w:hAnsi="Times New Roman"/>
          <w:sz w:val="24"/>
          <w:szCs w:val="24"/>
        </w:rPr>
      </w:pPr>
      <w:bookmarkStart w:id="0" w:name="_Toc70363814"/>
      <w:bookmarkStart w:id="1" w:name="_Toc70367349"/>
      <w:bookmarkStart w:id="2" w:name="_Toc160719735"/>
      <w:r w:rsidRPr="00155376">
        <w:rPr>
          <w:rFonts w:ascii="Times New Roman" w:hAnsi="Times New Roman"/>
          <w:sz w:val="24"/>
          <w:szCs w:val="24"/>
        </w:rPr>
        <w:t>APPLICABLE REGULATIONS GOVERNING PROCUREMENT</w:t>
      </w:r>
      <w:bookmarkEnd w:id="0"/>
      <w:bookmarkEnd w:id="1"/>
      <w:bookmarkEnd w:id="2"/>
    </w:p>
    <w:p w14:paraId="01E6C6F0" w14:textId="77777777" w:rsidR="00E442F4" w:rsidRPr="00155376" w:rsidRDefault="00E442F4" w:rsidP="00C371BD">
      <w:pPr>
        <w:rPr>
          <w:sz w:val="24"/>
          <w:szCs w:val="24"/>
        </w:rPr>
      </w:pPr>
    </w:p>
    <w:p w14:paraId="0D6A9BF7" w14:textId="53E0B751" w:rsidR="00E442F4" w:rsidRPr="00155376" w:rsidRDefault="00E442F4" w:rsidP="00516454">
      <w:pPr>
        <w:pStyle w:val="Heading2"/>
      </w:pPr>
      <w:r w:rsidRPr="00155376">
        <w:t>All applicable Nevada Revised Statutes (NRS) and Nevada Administrative Code (NAC) documentation can be found at:</w:t>
      </w:r>
      <w:r w:rsidR="00976775" w:rsidRPr="00155376">
        <w:t xml:space="preserve"> </w:t>
      </w:r>
      <w:hyperlink r:id="rId12" w:history="1">
        <w:r w:rsidRPr="00155376">
          <w:rPr>
            <w:rStyle w:val="Hyperlink"/>
          </w:rPr>
          <w:t>www.leg.state.nv.us/law1.cfm</w:t>
        </w:r>
      </w:hyperlink>
      <w:r w:rsidRPr="00155376">
        <w:t>.</w:t>
      </w:r>
    </w:p>
    <w:p w14:paraId="3E669ECC" w14:textId="77777777" w:rsidR="00E442F4" w:rsidRPr="00155376" w:rsidRDefault="00E442F4" w:rsidP="00C371BD">
      <w:pPr>
        <w:rPr>
          <w:sz w:val="24"/>
          <w:szCs w:val="24"/>
        </w:rPr>
      </w:pPr>
    </w:p>
    <w:p w14:paraId="73ADADB1" w14:textId="2E9E5A67" w:rsidR="00E442F4" w:rsidRPr="00155376" w:rsidRDefault="00E442F4" w:rsidP="00516454">
      <w:pPr>
        <w:pStyle w:val="Heading2"/>
      </w:pPr>
      <w:r w:rsidRPr="00155376">
        <w:t>Prospective vendors are advised to review Nevada’s ethical standards requirements, including but not limited to NRS 281A, NRS 333.800, and NAC 333.155.</w:t>
      </w:r>
    </w:p>
    <w:p w14:paraId="3D33C31F" w14:textId="77777777" w:rsidR="00E442F4" w:rsidRPr="00155376" w:rsidRDefault="00E442F4" w:rsidP="00C371BD">
      <w:pPr>
        <w:rPr>
          <w:sz w:val="24"/>
          <w:szCs w:val="24"/>
        </w:rPr>
      </w:pPr>
    </w:p>
    <w:p w14:paraId="7DB604C0" w14:textId="0111EC62" w:rsidR="00D91DEB" w:rsidRPr="00155376" w:rsidRDefault="00E442F4" w:rsidP="00A33A03">
      <w:pPr>
        <w:pStyle w:val="Heading1"/>
        <w:rPr>
          <w:rFonts w:ascii="Times New Roman" w:hAnsi="Times New Roman"/>
          <w:sz w:val="24"/>
          <w:szCs w:val="24"/>
        </w:rPr>
      </w:pPr>
      <w:bookmarkStart w:id="3" w:name="_Toc70363815"/>
      <w:bookmarkStart w:id="4" w:name="_Toc70367350"/>
      <w:bookmarkStart w:id="5" w:name="_Toc160719736"/>
      <w:r w:rsidRPr="00155376">
        <w:rPr>
          <w:rFonts w:ascii="Times New Roman" w:hAnsi="Times New Roman"/>
          <w:sz w:val="24"/>
          <w:szCs w:val="24"/>
        </w:rPr>
        <w:t xml:space="preserve">PROJECT </w:t>
      </w:r>
      <w:r w:rsidR="001D44B2" w:rsidRPr="00155376">
        <w:rPr>
          <w:rFonts w:ascii="Times New Roman" w:hAnsi="Times New Roman"/>
          <w:sz w:val="24"/>
          <w:szCs w:val="24"/>
        </w:rPr>
        <w:t>OVERVIEW</w:t>
      </w:r>
      <w:bookmarkEnd w:id="3"/>
      <w:bookmarkEnd w:id="4"/>
      <w:bookmarkEnd w:id="5"/>
    </w:p>
    <w:p w14:paraId="3844FAEF" w14:textId="77777777" w:rsidR="001D44B2" w:rsidRPr="00155376" w:rsidRDefault="001D44B2" w:rsidP="00C371BD">
      <w:pPr>
        <w:rPr>
          <w:sz w:val="24"/>
          <w:szCs w:val="24"/>
        </w:rPr>
      </w:pPr>
    </w:p>
    <w:p w14:paraId="07D4F9C4" w14:textId="77777777" w:rsidR="009F1D10" w:rsidRPr="004743AC" w:rsidRDefault="009F1D10" w:rsidP="004743AC">
      <w:pPr>
        <w:ind w:left="720"/>
        <w:rPr>
          <w:sz w:val="24"/>
          <w:szCs w:val="24"/>
        </w:rPr>
      </w:pPr>
      <w:r w:rsidRPr="004743AC">
        <w:rPr>
          <w:sz w:val="24"/>
          <w:szCs w:val="24"/>
        </w:rPr>
        <w:t xml:space="preserve">The State of Nevada (the “State”) Office of the Treasurer (the “Office”) is soliciting qualified firms (no joint proposals), interested in providing bond counsel and/or disclosure counsel (bond counsel together with disclosure counsel, “Counsel”) services in connection with the issuance of bonds, notes, or other securities. </w:t>
      </w:r>
    </w:p>
    <w:p w14:paraId="107E9B03" w14:textId="77777777" w:rsidR="009F1D10" w:rsidRPr="004743AC" w:rsidRDefault="009F1D10" w:rsidP="004743AC">
      <w:pPr>
        <w:ind w:left="720"/>
        <w:rPr>
          <w:sz w:val="24"/>
          <w:szCs w:val="24"/>
        </w:rPr>
      </w:pPr>
    </w:p>
    <w:p w14:paraId="640D8E84" w14:textId="77777777" w:rsidR="009F1D10" w:rsidRPr="004743AC" w:rsidRDefault="009F1D10" w:rsidP="004743AC">
      <w:pPr>
        <w:ind w:left="720"/>
        <w:rPr>
          <w:sz w:val="24"/>
          <w:szCs w:val="24"/>
        </w:rPr>
      </w:pPr>
      <w:r w:rsidRPr="004743AC">
        <w:rPr>
          <w:sz w:val="24"/>
          <w:szCs w:val="24"/>
        </w:rPr>
        <w:t>The State is an issuer of tax-exempt and taxable general obligation bonds, revenue bonds, certificates of participation, and other securities.</w:t>
      </w:r>
    </w:p>
    <w:p w14:paraId="77214247" w14:textId="77777777" w:rsidR="009F1D10" w:rsidRPr="004743AC" w:rsidRDefault="009F1D10" w:rsidP="004743AC">
      <w:pPr>
        <w:ind w:left="720"/>
        <w:rPr>
          <w:sz w:val="24"/>
          <w:szCs w:val="24"/>
        </w:rPr>
      </w:pPr>
    </w:p>
    <w:p w14:paraId="51F8A650" w14:textId="77777777" w:rsidR="009F1D10" w:rsidRPr="004743AC" w:rsidRDefault="009F1D10" w:rsidP="004743AC">
      <w:pPr>
        <w:ind w:left="720"/>
        <w:rPr>
          <w:sz w:val="24"/>
          <w:szCs w:val="24"/>
        </w:rPr>
      </w:pPr>
      <w:r w:rsidRPr="004743AC">
        <w:rPr>
          <w:sz w:val="24"/>
          <w:szCs w:val="24"/>
        </w:rPr>
        <w:t>All debt must be authorized by specific legislation providing for the specific programs or projects to be financed.  Such legislation provides the Board of Finance (the “Board”) with the authority to approve and authorize the sale and issuance of securities.</w:t>
      </w:r>
    </w:p>
    <w:p w14:paraId="4B11231A" w14:textId="77777777" w:rsidR="009F1D10" w:rsidRPr="004743AC" w:rsidRDefault="009F1D10" w:rsidP="004743AC">
      <w:pPr>
        <w:ind w:left="720"/>
        <w:rPr>
          <w:sz w:val="24"/>
          <w:szCs w:val="24"/>
        </w:rPr>
      </w:pPr>
    </w:p>
    <w:p w14:paraId="6B7C86B1" w14:textId="77777777" w:rsidR="009F1D10" w:rsidRPr="004743AC" w:rsidRDefault="009F1D10" w:rsidP="004743AC">
      <w:pPr>
        <w:ind w:left="720"/>
        <w:rPr>
          <w:sz w:val="24"/>
          <w:szCs w:val="24"/>
        </w:rPr>
      </w:pPr>
      <w:r w:rsidRPr="004743AC">
        <w:rPr>
          <w:sz w:val="24"/>
          <w:szCs w:val="24"/>
        </w:rPr>
        <w:t>Pursuant to Nevada Revised Statutes (NRS) 226.110(10), the Office, upon direction of the Board, is responsible for the issuance of any obligation authorized on the behalf and in the name of the State, except as otherwise provided in NRS 538.206 (Colorado River Commission Bond Issuance), and except for those obligations issued pursuant to chapter 319 of NRS (Housing Bonds), and NRS 349.400 to 349.987 (Revenue Bonds for Industrial Development) inclusive.</w:t>
      </w:r>
    </w:p>
    <w:p w14:paraId="6B7BF384" w14:textId="77777777" w:rsidR="005E125D" w:rsidRPr="00155376" w:rsidRDefault="005E125D" w:rsidP="005E125D">
      <w:pPr>
        <w:ind w:left="720"/>
        <w:rPr>
          <w:sz w:val="24"/>
          <w:szCs w:val="24"/>
        </w:rPr>
      </w:pPr>
    </w:p>
    <w:p w14:paraId="0D3A0977" w14:textId="77777777" w:rsidR="005E125D" w:rsidRPr="00155376" w:rsidRDefault="005E125D" w:rsidP="005E125D">
      <w:pPr>
        <w:ind w:left="720"/>
        <w:rPr>
          <w:sz w:val="24"/>
          <w:szCs w:val="24"/>
        </w:rPr>
      </w:pPr>
      <w:r w:rsidRPr="00155376">
        <w:rPr>
          <w:sz w:val="24"/>
          <w:szCs w:val="24"/>
        </w:rPr>
        <w:t>Historically, securities have been issued to fund programs/projects such as, but not limited to:</w:t>
      </w:r>
    </w:p>
    <w:p w14:paraId="0689CD1C" w14:textId="77777777" w:rsidR="005E125D" w:rsidRPr="00155376" w:rsidRDefault="005E125D" w:rsidP="005E125D">
      <w:pPr>
        <w:ind w:left="720"/>
        <w:rPr>
          <w:sz w:val="24"/>
          <w:szCs w:val="24"/>
        </w:rPr>
      </w:pPr>
    </w:p>
    <w:p w14:paraId="6F8E6B75"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Capital Improvements (Biennial Legislative Act)</w:t>
      </w:r>
    </w:p>
    <w:p w14:paraId="45BD61DD"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 xml:space="preserve">Colorado River Commission (NRS 538.166) </w:t>
      </w:r>
    </w:p>
    <w:p w14:paraId="0D602697"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Economic Development (NRS 360.991)</w:t>
      </w:r>
    </w:p>
    <w:p w14:paraId="3CB53763" w14:textId="77777777" w:rsidR="005E125D" w:rsidRPr="00155376" w:rsidRDefault="005E125D" w:rsidP="005E125D">
      <w:pPr>
        <w:pStyle w:val="ListParagraph"/>
        <w:numPr>
          <w:ilvl w:val="0"/>
          <w:numId w:val="38"/>
        </w:numPr>
        <w:ind w:left="1440"/>
        <w:rPr>
          <w:rFonts w:ascii="Times New Roman" w:hAnsi="Times New Roman"/>
        </w:rPr>
      </w:pPr>
      <w:r w:rsidRPr="10F386C1">
        <w:rPr>
          <w:rFonts w:ascii="Times New Roman" w:hAnsi="Times New Roman"/>
        </w:rPr>
        <w:t>Highway Revenue (Motor Vehicle Fuel Tax) bonds (NRS 408.273)</w:t>
      </w:r>
    </w:p>
    <w:p w14:paraId="37FD5B28" w14:textId="597296A0" w:rsidR="007A2402" w:rsidRPr="006006F0" w:rsidRDefault="006006F0" w:rsidP="006006F0">
      <w:pPr>
        <w:pStyle w:val="ListParagraph"/>
        <w:numPr>
          <w:ilvl w:val="0"/>
          <w:numId w:val="38"/>
        </w:numPr>
        <w:ind w:left="1440"/>
        <w:rPr>
          <w:rFonts w:ascii="Times New Roman" w:hAnsi="Times New Roman"/>
        </w:rPr>
      </w:pPr>
      <w:r w:rsidRPr="10F386C1">
        <w:rPr>
          <w:rFonts w:ascii="Times New Roman" w:hAnsi="Times New Roman"/>
        </w:rPr>
        <w:t>Highway Revenue (</w:t>
      </w:r>
      <w:r>
        <w:rPr>
          <w:rFonts w:ascii="Times New Roman" w:hAnsi="Times New Roman"/>
        </w:rPr>
        <w:t>Indexed</w:t>
      </w:r>
      <w:r w:rsidRPr="10F386C1">
        <w:rPr>
          <w:rFonts w:ascii="Times New Roman" w:hAnsi="Times New Roman"/>
        </w:rPr>
        <w:t xml:space="preserve"> Fuel Tax) bonds</w:t>
      </w:r>
    </w:p>
    <w:p w14:paraId="0F1AA437" w14:textId="2AEBED5A"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 xml:space="preserve">Historic Preservation Grants (NRS 383.530) </w:t>
      </w:r>
    </w:p>
    <w:p w14:paraId="0C1A7DE4"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Lease-Purchase Agreements (NRS 353.500)</w:t>
      </w:r>
    </w:p>
    <w:p w14:paraId="6F5C583C"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Marlette Lake Water System (NRS 331.160)</w:t>
      </w:r>
    </w:p>
    <w:p w14:paraId="44B1EFC8"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Municipal Bond Bank (NRS 350A)</w:t>
      </w:r>
    </w:p>
    <w:p w14:paraId="79489A67"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Open Space Bonds (2001 Assembly Bill 9)</w:t>
      </w:r>
    </w:p>
    <w:p w14:paraId="71585DF2"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 xml:space="preserve">Safe Drinking Water State Revolving Fund (NRS 445A.290) </w:t>
      </w:r>
    </w:p>
    <w:p w14:paraId="661908EB"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Slot Tax Bonds (NRS 463.385)</w:t>
      </w:r>
    </w:p>
    <w:p w14:paraId="697810E3"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Tahoe Environmental Improvement (NRS 321.596)</w:t>
      </w:r>
    </w:p>
    <w:p w14:paraId="3E2CB56C"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Unemployment Compensation (NRS 612.6122)</w:t>
      </w:r>
    </w:p>
    <w:p w14:paraId="5438CBB9"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Water Pollution Control State Revolving Fund (NRS 445A.155)</w:t>
      </w:r>
    </w:p>
    <w:p w14:paraId="21EC49BB"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Water System Grants (NRS 349.986)</w:t>
      </w:r>
    </w:p>
    <w:p w14:paraId="00D55664" w14:textId="77777777" w:rsidR="005E125D" w:rsidRPr="00155376" w:rsidRDefault="005E125D" w:rsidP="005E125D">
      <w:pPr>
        <w:ind w:left="720"/>
        <w:rPr>
          <w:sz w:val="24"/>
          <w:szCs w:val="24"/>
        </w:rPr>
      </w:pPr>
    </w:p>
    <w:p w14:paraId="018DC7F7" w14:textId="77777777" w:rsidR="005E125D" w:rsidRPr="00155376" w:rsidRDefault="005E125D" w:rsidP="005E125D">
      <w:pPr>
        <w:ind w:left="720"/>
        <w:rPr>
          <w:sz w:val="24"/>
          <w:szCs w:val="24"/>
        </w:rPr>
      </w:pPr>
    </w:p>
    <w:p w14:paraId="7742F004" w14:textId="77777777" w:rsidR="005E125D" w:rsidRPr="00155376" w:rsidRDefault="005E125D" w:rsidP="005E125D">
      <w:pPr>
        <w:ind w:left="720"/>
        <w:rPr>
          <w:sz w:val="24"/>
          <w:szCs w:val="24"/>
        </w:rPr>
      </w:pPr>
      <w:r w:rsidRPr="00155376">
        <w:rPr>
          <w:sz w:val="24"/>
          <w:szCs w:val="24"/>
        </w:rPr>
        <w:lastRenderedPageBreak/>
        <w:t xml:space="preserve">Generally, the State issues debt on a competitive sale basis, but negotiated or private placement sales may be conducted as circumstances warrant.  Debt issuances generally range between $5 million and $300 million, may include multiple series, and are usually comprised of the following five types of securities: (1) general obligation; (2) general obligation with the pledge of a specific revenue source; (3) revenue; (4) appropriation-based certificates of participation secured by the commitment of the State to pay debt service, subject to annual appropriation by the Legislature; or (5) </w:t>
      </w:r>
      <w:proofErr w:type="spellStart"/>
      <w:r w:rsidRPr="00155376">
        <w:rPr>
          <w:sz w:val="24"/>
          <w:szCs w:val="24"/>
        </w:rPr>
        <w:t>refundings</w:t>
      </w:r>
      <w:proofErr w:type="spellEnd"/>
      <w:r w:rsidRPr="00155376">
        <w:rPr>
          <w:sz w:val="24"/>
          <w:szCs w:val="24"/>
        </w:rPr>
        <w:t xml:space="preserve"> of prior issuances.</w:t>
      </w:r>
    </w:p>
    <w:p w14:paraId="5DFEB952" w14:textId="77777777" w:rsidR="005E125D" w:rsidRPr="00155376" w:rsidRDefault="005E125D" w:rsidP="005E125D">
      <w:pPr>
        <w:ind w:left="720"/>
        <w:rPr>
          <w:sz w:val="24"/>
          <w:szCs w:val="24"/>
        </w:rPr>
      </w:pPr>
    </w:p>
    <w:p w14:paraId="55812BF6" w14:textId="77777777" w:rsidR="00FA5EA7" w:rsidRPr="00FA5EA7" w:rsidRDefault="00FA5EA7" w:rsidP="00FA5EA7">
      <w:pPr>
        <w:ind w:left="720"/>
        <w:rPr>
          <w:sz w:val="24"/>
          <w:szCs w:val="24"/>
        </w:rPr>
      </w:pPr>
      <w:r w:rsidRPr="00FA5EA7">
        <w:rPr>
          <w:sz w:val="24"/>
          <w:szCs w:val="24"/>
        </w:rPr>
        <w:t xml:space="preserve">For each debt issuance, the Office retains separate law firms to act as bond counsel and disclosure counsel.  </w:t>
      </w:r>
    </w:p>
    <w:p w14:paraId="578064D1" w14:textId="77777777" w:rsidR="00FA5EA7" w:rsidRPr="00FA5EA7" w:rsidRDefault="00FA5EA7" w:rsidP="00FA5EA7">
      <w:pPr>
        <w:ind w:left="720"/>
        <w:rPr>
          <w:sz w:val="24"/>
          <w:szCs w:val="24"/>
        </w:rPr>
      </w:pPr>
    </w:p>
    <w:p w14:paraId="73A887B4" w14:textId="77777777" w:rsidR="00FA5EA7" w:rsidRPr="00FA5EA7" w:rsidRDefault="00FA5EA7" w:rsidP="00FA5EA7">
      <w:pPr>
        <w:ind w:left="720"/>
        <w:rPr>
          <w:sz w:val="24"/>
          <w:szCs w:val="24"/>
        </w:rPr>
      </w:pPr>
      <w:r w:rsidRPr="00FA5EA7">
        <w:rPr>
          <w:sz w:val="24"/>
          <w:szCs w:val="24"/>
        </w:rPr>
        <w:t xml:space="preserve">Counsel works closely with the offices of the Governor, Treasurer, Controller, Attorney General and other State </w:t>
      </w:r>
      <w:proofErr w:type="gramStart"/>
      <w:r w:rsidRPr="00FA5EA7">
        <w:rPr>
          <w:sz w:val="24"/>
          <w:szCs w:val="24"/>
        </w:rPr>
        <w:t>departments</w:t>
      </w:r>
      <w:proofErr w:type="gramEnd"/>
      <w:r w:rsidRPr="00FA5EA7">
        <w:rPr>
          <w:sz w:val="24"/>
          <w:szCs w:val="24"/>
        </w:rPr>
        <w:t xml:space="preserve"> and agencies; the State’s financial advisors; registrars/paying agents; select underwriting teams; bond insurers; and municipalities.</w:t>
      </w:r>
    </w:p>
    <w:p w14:paraId="236B062B" w14:textId="77777777" w:rsidR="00FA5EA7" w:rsidRPr="00FA5EA7" w:rsidRDefault="00FA5EA7" w:rsidP="00FA5EA7">
      <w:pPr>
        <w:ind w:left="720"/>
        <w:rPr>
          <w:sz w:val="24"/>
          <w:szCs w:val="24"/>
        </w:rPr>
      </w:pPr>
    </w:p>
    <w:p w14:paraId="5BD86A2C" w14:textId="77777777" w:rsidR="00FA5EA7" w:rsidRPr="00FA5EA7" w:rsidRDefault="00FA5EA7" w:rsidP="00FA5EA7">
      <w:pPr>
        <w:ind w:left="720"/>
        <w:rPr>
          <w:sz w:val="24"/>
          <w:szCs w:val="24"/>
        </w:rPr>
      </w:pPr>
      <w:r w:rsidRPr="00FA5EA7">
        <w:rPr>
          <w:sz w:val="24"/>
          <w:szCs w:val="24"/>
        </w:rPr>
        <w:t>Bond counsel advises and assists in developing the legal and structural framework of the issuance in compliance with applicable federal, state, and municipal laws and regulations; drafts the various documents necessary or appropriate for the authorization, issuance, sale and delivery of the securities, including preparation of resolutions, opinions, closing certificates, federal tax forms; reviews and edits the preliminary and final offering documents; renders unqualified opinions concerning the validity and the tax-exempt status of the securities; prepares final transcript documents; and keeps the Office informed of rulings, findings, and changes in law which impact the issuance and post-issuance compliance of  State securities.</w:t>
      </w:r>
    </w:p>
    <w:p w14:paraId="186E0FED" w14:textId="77777777" w:rsidR="00FA5EA7" w:rsidRPr="00FA5EA7" w:rsidRDefault="00FA5EA7" w:rsidP="00FA5EA7">
      <w:pPr>
        <w:ind w:left="720"/>
        <w:rPr>
          <w:sz w:val="24"/>
          <w:szCs w:val="24"/>
        </w:rPr>
      </w:pPr>
    </w:p>
    <w:p w14:paraId="5165A6D4" w14:textId="77777777" w:rsidR="00FA5EA7" w:rsidRPr="00FA5EA7" w:rsidRDefault="00FA5EA7" w:rsidP="00FA5EA7">
      <w:pPr>
        <w:ind w:left="720"/>
        <w:rPr>
          <w:sz w:val="24"/>
          <w:szCs w:val="24"/>
        </w:rPr>
      </w:pPr>
      <w:r w:rsidRPr="00FA5EA7">
        <w:rPr>
          <w:sz w:val="24"/>
          <w:szCs w:val="24"/>
        </w:rPr>
        <w:t>Occasionally, bond counsel may be asked to advise the Governor and/or his staff and the State Legislature on debt-related issues, assist in reviewing and drafting debt-related legislation, assist with IRS audits, assist in reviewing and/or drafting post-issuance policies and procedures, and conduct post-issuance compliance trainings.</w:t>
      </w:r>
    </w:p>
    <w:p w14:paraId="43BDE18A" w14:textId="77777777" w:rsidR="00FA5EA7" w:rsidRPr="00FA5EA7" w:rsidRDefault="00FA5EA7" w:rsidP="00FA5EA7">
      <w:pPr>
        <w:ind w:left="720"/>
        <w:rPr>
          <w:sz w:val="24"/>
          <w:szCs w:val="24"/>
        </w:rPr>
      </w:pPr>
    </w:p>
    <w:p w14:paraId="668252C2" w14:textId="77777777" w:rsidR="00FA5EA7" w:rsidRPr="00FA5EA7" w:rsidRDefault="00FA5EA7" w:rsidP="00FA5EA7">
      <w:pPr>
        <w:ind w:left="720"/>
        <w:rPr>
          <w:sz w:val="24"/>
          <w:szCs w:val="24"/>
        </w:rPr>
      </w:pPr>
      <w:r w:rsidRPr="00FA5EA7">
        <w:rPr>
          <w:sz w:val="24"/>
          <w:szCs w:val="24"/>
        </w:rPr>
        <w:t>In compliance with federal and State regulatory agencies, and with the assistance of the State, disclosure counsel prepares the disclosure on the State for the preliminary and final  official statements (“Offering Documents’), reviews and/or drafts the Continuing Disclosure Certificate and/or the Disclosure Dissemination Agreement,  provides the “10b-5 Opinion” with respect to the Offering Documents,  and keeps the Office informed of rulings and findings which impact the post-issuance compliance and ongoing disclosure obligations of the State securities.</w:t>
      </w:r>
    </w:p>
    <w:p w14:paraId="30ADBE56" w14:textId="77777777" w:rsidR="00FA5EA7" w:rsidRPr="00FA5EA7" w:rsidRDefault="00FA5EA7" w:rsidP="00FA5EA7">
      <w:pPr>
        <w:ind w:left="720"/>
        <w:rPr>
          <w:sz w:val="24"/>
          <w:szCs w:val="24"/>
        </w:rPr>
      </w:pPr>
    </w:p>
    <w:p w14:paraId="146BA543" w14:textId="77777777" w:rsidR="00FA5EA7" w:rsidRPr="00FA5EA7" w:rsidRDefault="00FA5EA7" w:rsidP="00FA5EA7">
      <w:pPr>
        <w:ind w:left="720"/>
        <w:rPr>
          <w:sz w:val="24"/>
          <w:szCs w:val="24"/>
        </w:rPr>
      </w:pPr>
      <w:r w:rsidRPr="00FA5EA7">
        <w:rPr>
          <w:sz w:val="24"/>
          <w:szCs w:val="24"/>
        </w:rPr>
        <w:t>Occasionally, disclosure counsel may be asked to assist with ongoing and/or annual disclosure filings, assist with regulatory initiative compliance, assist in reviewing and/or drafting ongoing disclosure policies and procedures, and conduct disclosure compliance trainings.</w:t>
      </w:r>
    </w:p>
    <w:p w14:paraId="00AFC1C7" w14:textId="77777777" w:rsidR="00FA5EA7" w:rsidRPr="00FA5EA7" w:rsidRDefault="00FA5EA7" w:rsidP="00FA5EA7">
      <w:pPr>
        <w:ind w:left="720"/>
        <w:rPr>
          <w:sz w:val="24"/>
          <w:szCs w:val="24"/>
        </w:rPr>
      </w:pPr>
    </w:p>
    <w:p w14:paraId="71A998E0" w14:textId="77777777" w:rsidR="00FA5EA7" w:rsidRPr="00FA5EA7" w:rsidRDefault="00FA5EA7" w:rsidP="00FA5EA7">
      <w:pPr>
        <w:ind w:left="720"/>
        <w:rPr>
          <w:sz w:val="24"/>
          <w:szCs w:val="24"/>
        </w:rPr>
      </w:pPr>
      <w:r w:rsidRPr="00FA5EA7">
        <w:rPr>
          <w:sz w:val="24"/>
          <w:szCs w:val="24"/>
        </w:rPr>
        <w:t>The Office intends this solicitation process to result in the selection of several qualified firms for inclusion in a Counsel Pool (“Pool”).  The size and composition of the Pool will be determined as part of the selection process.</w:t>
      </w:r>
    </w:p>
    <w:p w14:paraId="540844DE" w14:textId="77777777" w:rsidR="005E125D" w:rsidRPr="00155376" w:rsidRDefault="005E125D" w:rsidP="005E125D">
      <w:pPr>
        <w:ind w:left="720"/>
        <w:rPr>
          <w:sz w:val="24"/>
          <w:szCs w:val="24"/>
          <w:highlight w:val="yellow"/>
        </w:rPr>
      </w:pPr>
    </w:p>
    <w:p w14:paraId="5C46E418" w14:textId="56F31F20" w:rsidR="005E125D" w:rsidRPr="00155376" w:rsidRDefault="005E125D" w:rsidP="005E125D">
      <w:pPr>
        <w:ind w:left="720"/>
        <w:rPr>
          <w:sz w:val="24"/>
          <w:szCs w:val="24"/>
        </w:rPr>
      </w:pPr>
      <w:r w:rsidRPr="00155376">
        <w:rPr>
          <w:sz w:val="24"/>
          <w:szCs w:val="24"/>
        </w:rPr>
        <w:t>The State may award</w:t>
      </w:r>
      <w:r w:rsidR="004B6068">
        <w:rPr>
          <w:sz w:val="24"/>
          <w:szCs w:val="24"/>
        </w:rPr>
        <w:t xml:space="preserve"> </w:t>
      </w:r>
      <w:r w:rsidRPr="00155376">
        <w:rPr>
          <w:sz w:val="24"/>
          <w:szCs w:val="24"/>
        </w:rPr>
        <w:t xml:space="preserve">3 or more contracts in conjunction with this solicitation, as determined in the best interests of the State.  The resulting contract(s) shall be for a contract term of four years with an optional </w:t>
      </w:r>
      <w:proofErr w:type="gramStart"/>
      <w:r w:rsidRPr="00155376">
        <w:rPr>
          <w:sz w:val="24"/>
          <w:szCs w:val="24"/>
        </w:rPr>
        <w:t>2 year</w:t>
      </w:r>
      <w:proofErr w:type="gramEnd"/>
      <w:r w:rsidRPr="00155376">
        <w:rPr>
          <w:sz w:val="24"/>
          <w:szCs w:val="24"/>
        </w:rPr>
        <w:t xml:space="preserve"> extension, anticipated to begin on or about July 1, 2024.</w:t>
      </w:r>
    </w:p>
    <w:p w14:paraId="1B8758D9" w14:textId="54A7DD60" w:rsidR="001D44B2" w:rsidRDefault="001D44B2" w:rsidP="00C371BD">
      <w:pPr>
        <w:rPr>
          <w:sz w:val="24"/>
          <w:szCs w:val="24"/>
        </w:rPr>
      </w:pPr>
    </w:p>
    <w:p w14:paraId="6859607A" w14:textId="77777777" w:rsidR="002245FC" w:rsidRDefault="002245FC" w:rsidP="00C371BD">
      <w:pPr>
        <w:rPr>
          <w:sz w:val="24"/>
          <w:szCs w:val="24"/>
        </w:rPr>
      </w:pPr>
    </w:p>
    <w:p w14:paraId="21159291" w14:textId="77777777" w:rsidR="002245FC" w:rsidRPr="00155376" w:rsidRDefault="002245FC" w:rsidP="00C371BD">
      <w:pPr>
        <w:rPr>
          <w:sz w:val="24"/>
          <w:szCs w:val="24"/>
        </w:rPr>
      </w:pPr>
    </w:p>
    <w:p w14:paraId="49DF71A5" w14:textId="0DAD767E" w:rsidR="002118A9" w:rsidRPr="00155376" w:rsidRDefault="003168D7" w:rsidP="00516454">
      <w:pPr>
        <w:pStyle w:val="Heading2"/>
      </w:pPr>
      <w:r w:rsidRPr="00155376">
        <w:lastRenderedPageBreak/>
        <w:t>AGENCY BACKGROUND</w:t>
      </w:r>
    </w:p>
    <w:p w14:paraId="34838036" w14:textId="33DA7042" w:rsidR="002118A9" w:rsidRPr="00155376" w:rsidRDefault="002118A9" w:rsidP="00C371BD">
      <w:pPr>
        <w:rPr>
          <w:sz w:val="24"/>
          <w:szCs w:val="24"/>
        </w:rPr>
      </w:pPr>
    </w:p>
    <w:p w14:paraId="2001CBB7" w14:textId="02C371E5" w:rsidR="00025B91" w:rsidRPr="00155376" w:rsidRDefault="00090666" w:rsidP="004211DE">
      <w:pPr>
        <w:pStyle w:val="Heading3"/>
      </w:pPr>
      <w:r w:rsidRPr="00155376">
        <w:t>Pursuant to NRS 226, the State Treasurer is directly responsible for the issuance of any debt obligation authorized on behalf of and in the name of the State, except for issuances by the Colorado River Commission, the University of Nevada System, and the Department of Business and Industry which issue various types of debt under differing levels of autonomy. The State Treasurer is also authorized to organize and facilitate statewide pooled financing programs, including lease purchases, for the benefit of the state and any political subdivisions.</w:t>
      </w:r>
    </w:p>
    <w:p w14:paraId="16C83332" w14:textId="77777777" w:rsidR="00DA4804" w:rsidRPr="00155376" w:rsidRDefault="00DA4804" w:rsidP="00C371BD">
      <w:pPr>
        <w:rPr>
          <w:sz w:val="24"/>
          <w:szCs w:val="24"/>
        </w:rPr>
      </w:pPr>
    </w:p>
    <w:p w14:paraId="125A3A6F" w14:textId="1EF22EE0" w:rsidR="00C56046" w:rsidRPr="00155376" w:rsidRDefault="00C56046" w:rsidP="00A33A03">
      <w:pPr>
        <w:pStyle w:val="Heading1"/>
        <w:rPr>
          <w:rFonts w:ascii="Times New Roman" w:hAnsi="Times New Roman"/>
          <w:sz w:val="24"/>
          <w:szCs w:val="24"/>
        </w:rPr>
      </w:pPr>
      <w:bookmarkStart w:id="6" w:name="_Toc70363816"/>
      <w:bookmarkStart w:id="7" w:name="_Toc70367351"/>
      <w:bookmarkStart w:id="8" w:name="_Toc160719737"/>
      <w:r w:rsidRPr="00155376">
        <w:rPr>
          <w:rFonts w:ascii="Times New Roman" w:hAnsi="Times New Roman"/>
          <w:sz w:val="24"/>
          <w:szCs w:val="24"/>
        </w:rPr>
        <w:t>SCOPE OF WORK</w:t>
      </w:r>
      <w:bookmarkEnd w:id="6"/>
      <w:bookmarkEnd w:id="7"/>
      <w:bookmarkEnd w:id="8"/>
    </w:p>
    <w:p w14:paraId="0042AC3D" w14:textId="18D65C8E" w:rsidR="00C56046" w:rsidRPr="00155376" w:rsidRDefault="00C56046" w:rsidP="00C371BD">
      <w:pPr>
        <w:rPr>
          <w:sz w:val="24"/>
          <w:szCs w:val="24"/>
        </w:rPr>
      </w:pPr>
    </w:p>
    <w:p w14:paraId="57289B30" w14:textId="4B8EB303" w:rsidR="00607093" w:rsidRPr="00155376" w:rsidRDefault="00E941A2" w:rsidP="00516454">
      <w:pPr>
        <w:pStyle w:val="Heading2"/>
      </w:pPr>
      <w:r w:rsidRPr="00155376">
        <w:t>SECURITIES ISSUANCE</w:t>
      </w:r>
    </w:p>
    <w:p w14:paraId="2C8A2328" w14:textId="77777777" w:rsidR="00F56802" w:rsidRPr="00155376" w:rsidRDefault="00F56802" w:rsidP="00F56802"/>
    <w:p w14:paraId="51523142" w14:textId="77777777" w:rsidR="00DD6227" w:rsidRPr="00DD6227" w:rsidRDefault="00DD6227" w:rsidP="00DD6227">
      <w:pPr>
        <w:ind w:left="720"/>
        <w:rPr>
          <w:bCs/>
          <w:sz w:val="24"/>
          <w:szCs w:val="24"/>
        </w:rPr>
      </w:pPr>
      <w:r w:rsidRPr="00DD6227">
        <w:rPr>
          <w:bCs/>
          <w:sz w:val="24"/>
          <w:szCs w:val="24"/>
        </w:rPr>
        <w:t>The Respondents selected for the Pool will be required to perform all legal services and duties customarily performed by bond counsel with respect to the issuance of securities.  The following are to be included in the specific tasks to be performed with respect thereto.  However, it is not to be considered as a complete list of tasks.</w:t>
      </w:r>
    </w:p>
    <w:p w14:paraId="009A604C" w14:textId="77777777" w:rsidR="00870BC6" w:rsidRPr="00155376" w:rsidRDefault="00870BC6" w:rsidP="004211DE">
      <w:pPr>
        <w:pStyle w:val="Heading3"/>
        <w:numPr>
          <w:ilvl w:val="0"/>
          <w:numId w:val="0"/>
        </w:numPr>
        <w:ind w:left="720"/>
      </w:pPr>
    </w:p>
    <w:p w14:paraId="5EA64177" w14:textId="2A7540E2" w:rsidR="00B12D4B" w:rsidRPr="00155376" w:rsidRDefault="00A90DC4" w:rsidP="004211DE">
      <w:pPr>
        <w:pStyle w:val="Heading3"/>
      </w:pPr>
      <w:r>
        <w:t>Assist</w:t>
      </w:r>
      <w:r w:rsidR="00B12D4B" w:rsidRPr="00155376">
        <w:t xml:space="preserve"> </w:t>
      </w:r>
      <w:r w:rsidRPr="00D8031C">
        <w:t xml:space="preserve">the Office’s Debt Management Deputy, financial advisors, purchaser or underwriter in the legal aspects of structuring the financing, including interpretation and application of state and federal laws and tax regulations pertaining to </w:t>
      </w:r>
      <w:proofErr w:type="gramStart"/>
      <w:r w:rsidRPr="00D8031C">
        <w:t>debt;</w:t>
      </w:r>
      <w:proofErr w:type="gramEnd"/>
    </w:p>
    <w:p w14:paraId="0E29EF92" w14:textId="77777777" w:rsidR="00C27081" w:rsidRPr="00155376" w:rsidRDefault="00C27081" w:rsidP="004211DE">
      <w:pPr>
        <w:pStyle w:val="Heading3"/>
        <w:numPr>
          <w:ilvl w:val="0"/>
          <w:numId w:val="0"/>
        </w:numPr>
        <w:ind w:left="720"/>
      </w:pPr>
    </w:p>
    <w:p w14:paraId="1594A816" w14:textId="3A7117CF" w:rsidR="00B12D4B" w:rsidRPr="00155376" w:rsidRDefault="009C038A" w:rsidP="004211DE">
      <w:pPr>
        <w:pStyle w:val="Heading3"/>
      </w:pPr>
      <w:r>
        <w:t>Assist</w:t>
      </w:r>
      <w:r w:rsidR="00B12D4B" w:rsidRPr="00155376">
        <w:t xml:space="preserve"> </w:t>
      </w:r>
      <w:r w:rsidRPr="00D223C2">
        <w:t xml:space="preserve">in structuring or evaluating the legal structure for investments of proceeds pending their expenditure that comply with state limitations on the investment of public funds and federal requirements for maintaining the exclusion of bond interest from federal income </w:t>
      </w:r>
      <w:proofErr w:type="gramStart"/>
      <w:r w:rsidRPr="00D223C2">
        <w:t>tax;</w:t>
      </w:r>
      <w:proofErr w:type="gramEnd"/>
    </w:p>
    <w:p w14:paraId="2816F825" w14:textId="77777777" w:rsidR="00C27081" w:rsidRPr="00155376" w:rsidRDefault="00C27081" w:rsidP="004211DE">
      <w:pPr>
        <w:pStyle w:val="Heading3"/>
        <w:numPr>
          <w:ilvl w:val="0"/>
          <w:numId w:val="0"/>
        </w:numPr>
        <w:ind w:left="720"/>
      </w:pPr>
    </w:p>
    <w:p w14:paraId="5BA4BFF3" w14:textId="5022B728" w:rsidR="00B12D4B" w:rsidRPr="00155376" w:rsidRDefault="0020678D" w:rsidP="004211DE">
      <w:pPr>
        <w:pStyle w:val="Heading3"/>
      </w:pPr>
      <w:r>
        <w:t>Provide</w:t>
      </w:r>
      <w:r w:rsidR="00B12D4B" w:rsidRPr="00155376">
        <w:t xml:space="preserve"> </w:t>
      </w:r>
      <w:r w:rsidR="00D223C2" w:rsidRPr="00D223C2">
        <w:t xml:space="preserve">sophisticated legal advice on federal tax matters including, but not limited to, the use of proceeds, reimbursements, arbitrage, private activity, management contracts, investment and expenditure of proceeds, and other matters related to the federal tax </w:t>
      </w:r>
      <w:proofErr w:type="gramStart"/>
      <w:r w:rsidR="00D223C2" w:rsidRPr="00D223C2">
        <w:t>exemption;</w:t>
      </w:r>
      <w:proofErr w:type="gramEnd"/>
    </w:p>
    <w:p w14:paraId="7A992669" w14:textId="77777777" w:rsidR="00C27081" w:rsidRPr="00155376" w:rsidRDefault="00C27081" w:rsidP="00C27081">
      <w:pPr>
        <w:pStyle w:val="ListParagraph"/>
        <w:rPr>
          <w:rFonts w:ascii="Times New Roman" w:hAnsi="Times New Roman"/>
        </w:rPr>
      </w:pPr>
    </w:p>
    <w:p w14:paraId="66FB1E11" w14:textId="21835B93" w:rsidR="00B12D4B" w:rsidRPr="00155376" w:rsidRDefault="00335A86" w:rsidP="004211DE">
      <w:pPr>
        <w:pStyle w:val="Heading3"/>
      </w:pPr>
      <w:r>
        <w:t>As</w:t>
      </w:r>
      <w:r w:rsidR="00DB0EE3" w:rsidRPr="00DB0EE3">
        <w:rPr>
          <w:rFonts w:ascii="Georgia" w:hAnsi="Georgia"/>
        </w:rPr>
        <w:t xml:space="preserve"> </w:t>
      </w:r>
      <w:r w:rsidR="00DB0EE3" w:rsidRPr="00DB0EE3">
        <w:t xml:space="preserve">appropriate, draft or review enabling legislation or constitutional and statute amendments relating to the issuance of State debt and appear before State legislative committees if </w:t>
      </w:r>
      <w:proofErr w:type="gramStart"/>
      <w:r w:rsidR="00DB0EE3" w:rsidRPr="00DB0EE3">
        <w:t>requested;</w:t>
      </w:r>
      <w:proofErr w:type="gramEnd"/>
    </w:p>
    <w:p w14:paraId="6D6AA5F8" w14:textId="77777777" w:rsidR="00C27081" w:rsidRPr="00155376" w:rsidRDefault="00C27081" w:rsidP="00C27081">
      <w:pPr>
        <w:pStyle w:val="ListParagraph"/>
        <w:rPr>
          <w:rFonts w:ascii="Times New Roman" w:hAnsi="Times New Roman"/>
        </w:rPr>
      </w:pPr>
    </w:p>
    <w:p w14:paraId="5BE61DF1" w14:textId="3493FA7B" w:rsidR="00B12D4B" w:rsidRPr="00155376" w:rsidRDefault="001735B9" w:rsidP="004211DE">
      <w:pPr>
        <w:pStyle w:val="Heading3"/>
      </w:pPr>
      <w:r>
        <w:t>Seek,</w:t>
      </w:r>
      <w:r w:rsidR="00B12D4B" w:rsidRPr="00155376">
        <w:t xml:space="preserve"> </w:t>
      </w:r>
      <w:r w:rsidRPr="001735B9">
        <w:t xml:space="preserve">on behalf of the State, any necessary opinions, letter rulings, or other documentation from the Internal Revenue Service or other bodies in connection with the </w:t>
      </w:r>
      <w:proofErr w:type="gramStart"/>
      <w:r w:rsidRPr="001735B9">
        <w:t>securities;</w:t>
      </w:r>
      <w:proofErr w:type="gramEnd"/>
    </w:p>
    <w:p w14:paraId="3179FFF4" w14:textId="77777777" w:rsidR="00C27081" w:rsidRPr="00155376" w:rsidRDefault="00C27081" w:rsidP="00C27081">
      <w:pPr>
        <w:pStyle w:val="ListParagraph"/>
        <w:rPr>
          <w:rFonts w:ascii="Times New Roman" w:hAnsi="Times New Roman"/>
        </w:rPr>
      </w:pPr>
    </w:p>
    <w:p w14:paraId="70B91612" w14:textId="2D850BC2" w:rsidR="00B12D4B" w:rsidRPr="00155376" w:rsidRDefault="00513959" w:rsidP="004211DE">
      <w:pPr>
        <w:pStyle w:val="Heading3"/>
      </w:pPr>
      <w:r>
        <w:t>Prepare</w:t>
      </w:r>
      <w:r w:rsidR="00B12D4B" w:rsidRPr="00155376">
        <w:t xml:space="preserve"> </w:t>
      </w:r>
      <w:r w:rsidRPr="00513959">
        <w:t xml:space="preserve">and review documents necessary or appropriate to the authorization, issuance, sale, and delivery of the securities including the coordination of the enactment and execution of these </w:t>
      </w:r>
      <w:proofErr w:type="gramStart"/>
      <w:r w:rsidRPr="00513959">
        <w:t>documents;</w:t>
      </w:r>
      <w:proofErr w:type="gramEnd"/>
    </w:p>
    <w:p w14:paraId="5B4C433D" w14:textId="77777777" w:rsidR="00200A55" w:rsidRPr="00155376" w:rsidRDefault="00200A55" w:rsidP="00200A55">
      <w:pPr>
        <w:pStyle w:val="ListParagraph"/>
        <w:rPr>
          <w:rFonts w:ascii="Times New Roman" w:hAnsi="Times New Roman"/>
        </w:rPr>
      </w:pPr>
    </w:p>
    <w:p w14:paraId="3635BF85" w14:textId="7D9E1A2D" w:rsidR="00C2317C" w:rsidRPr="00C2317C" w:rsidRDefault="00B12D4B" w:rsidP="004211DE">
      <w:pPr>
        <w:pStyle w:val="Heading3"/>
      </w:pPr>
      <w:r w:rsidRPr="00155376">
        <w:t xml:space="preserve">Prepare </w:t>
      </w:r>
      <w:r w:rsidR="00C2317C" w:rsidRPr="00C2317C">
        <w:t xml:space="preserve">all bond/certificate purchase agreements, notices of sale, bid forms, and other materials necessary to market the </w:t>
      </w:r>
      <w:proofErr w:type="gramStart"/>
      <w:r w:rsidR="00C2317C" w:rsidRPr="00C2317C">
        <w:t>securities;</w:t>
      </w:r>
      <w:proofErr w:type="gramEnd"/>
    </w:p>
    <w:p w14:paraId="080703B9" w14:textId="77777777" w:rsidR="00200A55" w:rsidRPr="00155376" w:rsidRDefault="00200A55" w:rsidP="00200A55">
      <w:pPr>
        <w:pStyle w:val="ListParagraph"/>
        <w:rPr>
          <w:rFonts w:ascii="Times New Roman" w:hAnsi="Times New Roman"/>
        </w:rPr>
      </w:pPr>
    </w:p>
    <w:p w14:paraId="6DCEB45E" w14:textId="7C2B10A5" w:rsidR="00314349" w:rsidRPr="00155376" w:rsidRDefault="00C94163" w:rsidP="004211DE">
      <w:pPr>
        <w:pStyle w:val="Heading3"/>
      </w:pPr>
      <w:r>
        <w:t>Advise,</w:t>
      </w:r>
      <w:r w:rsidR="00314349" w:rsidRPr="00155376">
        <w:t xml:space="preserve"> </w:t>
      </w:r>
      <w:r w:rsidRPr="004D0C28">
        <w:t xml:space="preserve">review and/or prepare all contracts, leases, or agreements necessary in regard to lease-purchases, including but not limited to: (a) Certificates of Participation (COPs) contracts (i.e. Installment Purchase Contract, Management Contracts, Indentures of </w:t>
      </w:r>
      <w:proofErr w:type="gramStart"/>
      <w:r w:rsidRPr="004D0C28">
        <w:t>Trust )</w:t>
      </w:r>
      <w:proofErr w:type="gramEnd"/>
      <w:r w:rsidRPr="004D0C28">
        <w:t>; and, if any (b) liquidity facility agreements and investment and trust agreements, relating to legal issues affecting the issuance of COPs;</w:t>
      </w:r>
    </w:p>
    <w:p w14:paraId="4978A49C" w14:textId="77777777" w:rsidR="00200A55" w:rsidRDefault="00200A55" w:rsidP="00200A55">
      <w:pPr>
        <w:pStyle w:val="ListParagraph"/>
        <w:rPr>
          <w:rFonts w:ascii="Times New Roman" w:hAnsi="Times New Roman"/>
        </w:rPr>
      </w:pPr>
    </w:p>
    <w:p w14:paraId="234D7E52" w14:textId="77777777" w:rsidR="006F5053" w:rsidRPr="00155376" w:rsidRDefault="006F5053" w:rsidP="00200A55">
      <w:pPr>
        <w:pStyle w:val="ListParagraph"/>
        <w:rPr>
          <w:rFonts w:ascii="Times New Roman" w:hAnsi="Times New Roman"/>
        </w:rPr>
      </w:pPr>
    </w:p>
    <w:p w14:paraId="13BB8A9B" w14:textId="5BE38081" w:rsidR="00314349" w:rsidRPr="00155376" w:rsidRDefault="000B014C" w:rsidP="004211DE">
      <w:pPr>
        <w:pStyle w:val="Heading3"/>
      </w:pPr>
      <w:r>
        <w:lastRenderedPageBreak/>
        <w:t>Assist</w:t>
      </w:r>
      <w:r w:rsidR="00314349" w:rsidRPr="00155376">
        <w:t xml:space="preserve"> </w:t>
      </w:r>
      <w:r w:rsidR="00DA4A04" w:rsidRPr="00DA4A04">
        <w:t xml:space="preserve">in the preparation of the State’s private placement memorandum or Offering Documents including, but not limited to, those sections related to the legality and </w:t>
      </w:r>
      <w:proofErr w:type="gramStart"/>
      <w:r w:rsidR="00DA4A04" w:rsidRPr="00DA4A04">
        <w:t>tax exempt</w:t>
      </w:r>
      <w:proofErr w:type="gramEnd"/>
      <w:r w:rsidR="00DA4A04" w:rsidRPr="00DA4A04">
        <w:t xml:space="preserve"> status of the securities;</w:t>
      </w:r>
    </w:p>
    <w:p w14:paraId="698BFC00" w14:textId="77777777" w:rsidR="0067183F" w:rsidRPr="00155376" w:rsidRDefault="0067183F" w:rsidP="0067183F">
      <w:pPr>
        <w:pStyle w:val="ListParagraph"/>
        <w:rPr>
          <w:rFonts w:ascii="Times New Roman" w:hAnsi="Times New Roman"/>
        </w:rPr>
      </w:pPr>
    </w:p>
    <w:p w14:paraId="369E3726" w14:textId="465667DF" w:rsidR="00314349" w:rsidRPr="00155376" w:rsidRDefault="00973672" w:rsidP="004211DE">
      <w:pPr>
        <w:pStyle w:val="Heading3"/>
      </w:pPr>
      <w:r>
        <w:t>Participate</w:t>
      </w:r>
      <w:r w:rsidR="00314349" w:rsidRPr="00155376">
        <w:t xml:space="preserve"> </w:t>
      </w:r>
      <w:r w:rsidRPr="00973672">
        <w:t xml:space="preserve">in board meetings and due diligence meetings </w:t>
      </w:r>
      <w:proofErr w:type="gramStart"/>
      <w:r w:rsidRPr="00973672">
        <w:t>and,</w:t>
      </w:r>
      <w:proofErr w:type="gramEnd"/>
      <w:r w:rsidRPr="00973672">
        <w:t xml:space="preserve"> as requested, other meetings relating to the issuance of securities or continuing legal advice as needed;</w:t>
      </w:r>
    </w:p>
    <w:p w14:paraId="38E2CFD7" w14:textId="77777777" w:rsidR="0067183F" w:rsidRPr="00155376" w:rsidRDefault="0067183F" w:rsidP="0067183F">
      <w:pPr>
        <w:pStyle w:val="ListParagraph"/>
        <w:rPr>
          <w:rFonts w:ascii="Times New Roman" w:hAnsi="Times New Roman"/>
        </w:rPr>
      </w:pPr>
    </w:p>
    <w:p w14:paraId="68DCF631" w14:textId="489E5358" w:rsidR="00314349" w:rsidRPr="00155376" w:rsidRDefault="00D75B7B" w:rsidP="004211DE">
      <w:pPr>
        <w:pStyle w:val="Heading3"/>
      </w:pPr>
      <w:r>
        <w:t>Verify</w:t>
      </w:r>
      <w:r w:rsidR="00314349" w:rsidRPr="00155376">
        <w:t xml:space="preserve"> </w:t>
      </w:r>
      <w:r w:rsidRPr="00D75B7B">
        <w:t xml:space="preserve">bids and computation of </w:t>
      </w:r>
      <w:proofErr w:type="gramStart"/>
      <w:r w:rsidRPr="00D75B7B">
        <w:t>yields;</w:t>
      </w:r>
      <w:proofErr w:type="gramEnd"/>
    </w:p>
    <w:p w14:paraId="4CE378A8" w14:textId="77777777" w:rsidR="0067183F" w:rsidRPr="00155376" w:rsidRDefault="0067183F" w:rsidP="0067183F">
      <w:pPr>
        <w:pStyle w:val="ListParagraph"/>
        <w:rPr>
          <w:rFonts w:ascii="Times New Roman" w:hAnsi="Times New Roman"/>
        </w:rPr>
      </w:pPr>
    </w:p>
    <w:p w14:paraId="760F67E1" w14:textId="22593417" w:rsidR="00314349" w:rsidRPr="00155376" w:rsidRDefault="00964A70" w:rsidP="004211DE">
      <w:pPr>
        <w:pStyle w:val="Heading3"/>
      </w:pPr>
      <w:r>
        <w:t>Render</w:t>
      </w:r>
      <w:r w:rsidR="00314349">
        <w:t xml:space="preserve"> </w:t>
      </w:r>
      <w:r>
        <w:t xml:space="preserve">an unqualified legal opinion concerning the validity of the security offering and whether and to what extent interest on the securities is exempt from income and other </w:t>
      </w:r>
      <w:proofErr w:type="gramStart"/>
      <w:r>
        <w:t>taxation;</w:t>
      </w:r>
      <w:proofErr w:type="gramEnd"/>
    </w:p>
    <w:p w14:paraId="6908272A" w14:textId="77777777" w:rsidR="0067183F" w:rsidRPr="00155376" w:rsidRDefault="0067183F" w:rsidP="0067183F">
      <w:pPr>
        <w:pStyle w:val="ListParagraph"/>
        <w:rPr>
          <w:rFonts w:ascii="Times New Roman" w:hAnsi="Times New Roman"/>
        </w:rPr>
      </w:pPr>
    </w:p>
    <w:p w14:paraId="70D0985A" w14:textId="672A4782" w:rsidR="0067183F" w:rsidRPr="008E1AD7" w:rsidRDefault="0070493D" w:rsidP="004211DE">
      <w:pPr>
        <w:pStyle w:val="Heading3"/>
      </w:pPr>
      <w:r>
        <w:t>Assist</w:t>
      </w:r>
      <w:r w:rsidR="00314349" w:rsidRPr="00155376">
        <w:t xml:space="preserve"> </w:t>
      </w:r>
      <w:r w:rsidR="008E1AD7" w:rsidRPr="008E1AD7">
        <w:t xml:space="preserve">in obtaining from other governmental authorities any approvals, permissions, and exemptions necessary or appropriate in connection with the authorization, issuance, sale and delivery of the </w:t>
      </w:r>
      <w:proofErr w:type="gramStart"/>
      <w:r w:rsidR="008E1AD7" w:rsidRPr="008E1AD7">
        <w:t>securities;</w:t>
      </w:r>
      <w:proofErr w:type="gramEnd"/>
    </w:p>
    <w:p w14:paraId="25E86EC9" w14:textId="77777777" w:rsidR="008E1AD7" w:rsidRPr="008E1AD7" w:rsidRDefault="008E1AD7" w:rsidP="004211DE">
      <w:pPr>
        <w:pStyle w:val="Heading3"/>
        <w:numPr>
          <w:ilvl w:val="0"/>
          <w:numId w:val="0"/>
        </w:numPr>
      </w:pPr>
    </w:p>
    <w:p w14:paraId="2EE39824" w14:textId="06EE70BF" w:rsidR="005B339D" w:rsidRPr="00480048" w:rsidRDefault="00C6126D" w:rsidP="004211DE">
      <w:pPr>
        <w:pStyle w:val="Heading3"/>
      </w:pPr>
      <w:r>
        <w:t>Prepare</w:t>
      </w:r>
      <w:r w:rsidR="001D2FF7" w:rsidRPr="00155376">
        <w:t xml:space="preserve"> </w:t>
      </w:r>
      <w:r w:rsidR="00480048" w:rsidRPr="00C6126D">
        <w:t xml:space="preserve">and distribute closing documentation and coordinate and conduct the closing of the </w:t>
      </w:r>
      <w:proofErr w:type="gramStart"/>
      <w:r w:rsidR="00480048" w:rsidRPr="00C6126D">
        <w:t>security;</w:t>
      </w:r>
      <w:proofErr w:type="gramEnd"/>
    </w:p>
    <w:p w14:paraId="27466DB5" w14:textId="77777777" w:rsidR="00480048" w:rsidRPr="00480048" w:rsidRDefault="00480048" w:rsidP="004211DE">
      <w:pPr>
        <w:pStyle w:val="Heading3"/>
        <w:numPr>
          <w:ilvl w:val="0"/>
          <w:numId w:val="0"/>
        </w:numPr>
      </w:pPr>
    </w:p>
    <w:p w14:paraId="69710254" w14:textId="76C46582" w:rsidR="001D2FF7" w:rsidRPr="00155376" w:rsidRDefault="00042090" w:rsidP="004211DE">
      <w:pPr>
        <w:pStyle w:val="Heading3"/>
      </w:pPr>
      <w:r>
        <w:t>Prepare</w:t>
      </w:r>
      <w:r w:rsidR="001D2FF7" w:rsidRPr="00155376">
        <w:t xml:space="preserve"> </w:t>
      </w:r>
      <w:r w:rsidR="0003023A" w:rsidRPr="0003023A">
        <w:t xml:space="preserve">the official transcripts (recordings of the proceedings of the financing), including all documentation relating to the authorization, offering, sale, and delivery of the issue within thirty days of the close in both hard copy and CD </w:t>
      </w:r>
      <w:proofErr w:type="gramStart"/>
      <w:r w:rsidR="0003023A" w:rsidRPr="0003023A">
        <w:t>formats;</w:t>
      </w:r>
      <w:proofErr w:type="gramEnd"/>
    </w:p>
    <w:p w14:paraId="10FB0D05" w14:textId="77777777" w:rsidR="000B1C3D" w:rsidRPr="00155376" w:rsidRDefault="000B1C3D" w:rsidP="000B1C3D">
      <w:pPr>
        <w:pStyle w:val="ListParagraph"/>
        <w:rPr>
          <w:rFonts w:ascii="Times New Roman" w:hAnsi="Times New Roman"/>
        </w:rPr>
      </w:pPr>
    </w:p>
    <w:p w14:paraId="1C203794" w14:textId="7352292A" w:rsidR="000B1C3D" w:rsidRPr="0009630D" w:rsidRDefault="00D701F7" w:rsidP="004211DE">
      <w:pPr>
        <w:pStyle w:val="Heading3"/>
      </w:pPr>
      <w:r>
        <w:t>Inform</w:t>
      </w:r>
      <w:r w:rsidR="001D2FF7" w:rsidRPr="00155376">
        <w:t xml:space="preserve"> </w:t>
      </w:r>
      <w:r w:rsidR="0009630D" w:rsidRPr="00D701F7">
        <w:t>the Office of rulings and findings by Federal and State regulatory agencies, including but not limited to, the Internal Revenue Service (IRS), the U.S. Securities and Exchange Commission (SEC), the Municipal Securities Rulemaking Board (MSRB), and State Legislature, which impact State financings; and</w:t>
      </w:r>
    </w:p>
    <w:p w14:paraId="1D43E7AB" w14:textId="77777777" w:rsidR="0009630D" w:rsidRPr="0009630D" w:rsidRDefault="0009630D" w:rsidP="004211DE">
      <w:pPr>
        <w:pStyle w:val="Heading3"/>
        <w:numPr>
          <w:ilvl w:val="0"/>
          <w:numId w:val="0"/>
        </w:numPr>
      </w:pPr>
    </w:p>
    <w:p w14:paraId="54996469" w14:textId="506C7573" w:rsidR="001D2FF7" w:rsidRDefault="00D05BEF" w:rsidP="004211DE">
      <w:pPr>
        <w:pStyle w:val="Heading3"/>
      </w:pPr>
      <w:r>
        <w:t>As</w:t>
      </w:r>
      <w:r w:rsidR="001D2FF7" w:rsidRPr="00155376">
        <w:t xml:space="preserve"> </w:t>
      </w:r>
      <w:r w:rsidRPr="00D05BEF">
        <w:t>necessary, assist the Office in resolving issues regarding the State’s debt that are raised by bondholders, rating agencies, regulating agencies, or public officials.</w:t>
      </w:r>
    </w:p>
    <w:p w14:paraId="10B0F098" w14:textId="6764A278" w:rsidR="00314349" w:rsidRPr="00D05BEF" w:rsidRDefault="00314349" w:rsidP="00D05BEF"/>
    <w:p w14:paraId="64FBB355" w14:textId="1B04D87E" w:rsidR="00E941A2" w:rsidRPr="00155376" w:rsidRDefault="00101306" w:rsidP="00516454">
      <w:pPr>
        <w:pStyle w:val="Heading2"/>
      </w:pPr>
      <w:r w:rsidRPr="00155376">
        <w:t>SPECIAL ASSIGNMENTS</w:t>
      </w:r>
    </w:p>
    <w:p w14:paraId="271BC189" w14:textId="77777777" w:rsidR="00E941A2" w:rsidRPr="00155376" w:rsidRDefault="00E941A2" w:rsidP="00E941A2"/>
    <w:p w14:paraId="7393C86A" w14:textId="6EA55393" w:rsidR="00047105" w:rsidRPr="00047105" w:rsidRDefault="00D13A9F" w:rsidP="00047105">
      <w:pPr>
        <w:ind w:left="720"/>
        <w:rPr>
          <w:bCs/>
          <w:sz w:val="24"/>
          <w:szCs w:val="24"/>
        </w:rPr>
      </w:pPr>
      <w:r w:rsidRPr="00047105">
        <w:rPr>
          <w:bCs/>
          <w:sz w:val="24"/>
          <w:szCs w:val="24"/>
        </w:rPr>
        <w:t xml:space="preserve">At the </w:t>
      </w:r>
      <w:r w:rsidR="00047105" w:rsidRPr="00047105">
        <w:rPr>
          <w:bCs/>
          <w:sz w:val="24"/>
          <w:szCs w:val="24"/>
        </w:rPr>
        <w:t xml:space="preserve">request of the Office, provide bond counsel services to assist the Office with special assignments, such as, but not limited to, bond calls and defeasances (not related to a </w:t>
      </w:r>
      <w:proofErr w:type="gramStart"/>
      <w:r w:rsidR="00047105" w:rsidRPr="00047105">
        <w:rPr>
          <w:bCs/>
          <w:sz w:val="24"/>
          <w:szCs w:val="24"/>
        </w:rPr>
        <w:t>State</w:t>
      </w:r>
      <w:proofErr w:type="gramEnd"/>
      <w:r w:rsidR="00047105" w:rsidRPr="00047105">
        <w:rPr>
          <w:bCs/>
          <w:sz w:val="24"/>
          <w:szCs w:val="24"/>
        </w:rPr>
        <w:t xml:space="preserve"> refunding issuance), arbitrage issues, audits, federal and regulatory initiatives, drafting of policies, and trainings.</w:t>
      </w:r>
    </w:p>
    <w:p w14:paraId="077C7F2D" w14:textId="77777777" w:rsidR="00047105" w:rsidRPr="00047105" w:rsidRDefault="00047105" w:rsidP="00047105">
      <w:pPr>
        <w:ind w:left="720"/>
        <w:rPr>
          <w:bCs/>
          <w:sz w:val="24"/>
          <w:szCs w:val="24"/>
        </w:rPr>
      </w:pPr>
    </w:p>
    <w:p w14:paraId="4E278DC8" w14:textId="77777777" w:rsidR="00047105" w:rsidRPr="00047105" w:rsidRDefault="00047105" w:rsidP="00047105">
      <w:pPr>
        <w:ind w:left="720"/>
        <w:rPr>
          <w:bCs/>
          <w:sz w:val="24"/>
          <w:szCs w:val="24"/>
        </w:rPr>
      </w:pPr>
      <w:r w:rsidRPr="00047105">
        <w:rPr>
          <w:bCs/>
          <w:sz w:val="24"/>
          <w:szCs w:val="24"/>
        </w:rPr>
        <w:t>Special assignments are charged at a blended hourly rate with an agreed upon maximum cost.</w:t>
      </w:r>
    </w:p>
    <w:p w14:paraId="008DD239" w14:textId="5E77007B" w:rsidR="00D13A9F" w:rsidRDefault="00D13A9F" w:rsidP="004211DE">
      <w:pPr>
        <w:pStyle w:val="Heading3"/>
        <w:numPr>
          <w:ilvl w:val="0"/>
          <w:numId w:val="0"/>
        </w:numPr>
        <w:ind w:left="720"/>
      </w:pPr>
    </w:p>
    <w:p w14:paraId="6B078B90" w14:textId="77777777" w:rsidR="006F5053" w:rsidRDefault="006F5053" w:rsidP="004211DE">
      <w:pPr>
        <w:pStyle w:val="Heading3"/>
        <w:numPr>
          <w:ilvl w:val="0"/>
          <w:numId w:val="0"/>
        </w:numPr>
        <w:ind w:left="720"/>
      </w:pPr>
    </w:p>
    <w:p w14:paraId="65D7DBDB" w14:textId="77777777" w:rsidR="006F5053" w:rsidRDefault="006F5053" w:rsidP="004211DE">
      <w:pPr>
        <w:pStyle w:val="Heading3"/>
        <w:numPr>
          <w:ilvl w:val="0"/>
          <w:numId w:val="0"/>
        </w:numPr>
        <w:ind w:left="720"/>
      </w:pPr>
    </w:p>
    <w:p w14:paraId="7E6F5C7C" w14:textId="77777777" w:rsidR="006F5053" w:rsidRDefault="006F5053" w:rsidP="004211DE">
      <w:pPr>
        <w:pStyle w:val="Heading3"/>
        <w:numPr>
          <w:ilvl w:val="0"/>
          <w:numId w:val="0"/>
        </w:numPr>
        <w:ind w:left="720"/>
      </w:pPr>
    </w:p>
    <w:p w14:paraId="4592EB60" w14:textId="77777777" w:rsidR="006F5053" w:rsidRDefault="006F5053" w:rsidP="004211DE">
      <w:pPr>
        <w:pStyle w:val="Heading3"/>
        <w:numPr>
          <w:ilvl w:val="0"/>
          <w:numId w:val="0"/>
        </w:numPr>
        <w:ind w:left="720"/>
      </w:pPr>
    </w:p>
    <w:p w14:paraId="6A673D51" w14:textId="77777777" w:rsidR="006F5053" w:rsidRDefault="006F5053" w:rsidP="004211DE">
      <w:pPr>
        <w:pStyle w:val="Heading3"/>
        <w:numPr>
          <w:ilvl w:val="0"/>
          <w:numId w:val="0"/>
        </w:numPr>
        <w:ind w:left="720"/>
      </w:pPr>
    </w:p>
    <w:p w14:paraId="713514D3" w14:textId="77777777" w:rsidR="006F5053" w:rsidRDefault="006F5053" w:rsidP="004211DE">
      <w:pPr>
        <w:pStyle w:val="Heading3"/>
        <w:numPr>
          <w:ilvl w:val="0"/>
          <w:numId w:val="0"/>
        </w:numPr>
        <w:ind w:left="720"/>
      </w:pPr>
    </w:p>
    <w:p w14:paraId="18E5D645" w14:textId="77777777" w:rsidR="006F5053" w:rsidRDefault="006F5053" w:rsidP="004211DE">
      <w:pPr>
        <w:pStyle w:val="Heading3"/>
        <w:numPr>
          <w:ilvl w:val="0"/>
          <w:numId w:val="0"/>
        </w:numPr>
        <w:ind w:left="720"/>
      </w:pPr>
    </w:p>
    <w:p w14:paraId="45FBD0D0" w14:textId="77777777" w:rsidR="006F5053" w:rsidRDefault="006F5053" w:rsidP="004211DE">
      <w:pPr>
        <w:pStyle w:val="Heading3"/>
        <w:numPr>
          <w:ilvl w:val="0"/>
          <w:numId w:val="0"/>
        </w:numPr>
        <w:ind w:left="720"/>
      </w:pPr>
    </w:p>
    <w:p w14:paraId="0BD6DC59" w14:textId="77777777" w:rsidR="006F5053" w:rsidRDefault="006F5053" w:rsidP="004211DE">
      <w:pPr>
        <w:pStyle w:val="Heading3"/>
        <w:numPr>
          <w:ilvl w:val="0"/>
          <w:numId w:val="0"/>
        </w:numPr>
        <w:ind w:left="720"/>
      </w:pPr>
    </w:p>
    <w:p w14:paraId="5FE80573" w14:textId="77777777" w:rsidR="006F5053" w:rsidRDefault="006F5053" w:rsidP="004211DE">
      <w:pPr>
        <w:pStyle w:val="Heading3"/>
        <w:numPr>
          <w:ilvl w:val="0"/>
          <w:numId w:val="0"/>
        </w:numPr>
        <w:ind w:left="720"/>
      </w:pPr>
    </w:p>
    <w:p w14:paraId="4196DB5A" w14:textId="77777777" w:rsidR="006F5053" w:rsidRDefault="006F5053" w:rsidP="004211DE">
      <w:pPr>
        <w:pStyle w:val="Heading3"/>
        <w:numPr>
          <w:ilvl w:val="0"/>
          <w:numId w:val="0"/>
        </w:numPr>
        <w:ind w:left="720"/>
      </w:pPr>
    </w:p>
    <w:p w14:paraId="22271878" w14:textId="77777777" w:rsidR="006F5053" w:rsidRPr="00155376" w:rsidRDefault="006F5053" w:rsidP="004211DE">
      <w:pPr>
        <w:pStyle w:val="Heading3"/>
        <w:numPr>
          <w:ilvl w:val="0"/>
          <w:numId w:val="0"/>
        </w:numPr>
        <w:ind w:left="720"/>
      </w:pPr>
    </w:p>
    <w:p w14:paraId="7956AFCD" w14:textId="531B7818" w:rsidR="00CF7B30" w:rsidRPr="00155376" w:rsidRDefault="000F6884" w:rsidP="00CF7B30">
      <w:pPr>
        <w:pStyle w:val="Heading2"/>
      </w:pPr>
      <w:r w:rsidRPr="00155376">
        <w:lastRenderedPageBreak/>
        <w:t>SUBSTANTIVE QUESTIONS</w:t>
      </w:r>
    </w:p>
    <w:p w14:paraId="0DA34E00" w14:textId="77777777" w:rsidR="00CF7B30" w:rsidRPr="00155376" w:rsidRDefault="00CF7B30" w:rsidP="00CF7B30"/>
    <w:p w14:paraId="0493FCA0" w14:textId="6B74E389" w:rsidR="005A359E" w:rsidRDefault="006E28B1" w:rsidP="004211DE">
      <w:pPr>
        <w:pStyle w:val="Heading3"/>
      </w:pPr>
      <w:r>
        <w:t xml:space="preserve">Using </w:t>
      </w:r>
      <w:r w:rsidRPr="006E28B1">
        <w:t xml:space="preserve">the table format below, indicate the total par and number of long-term municipal bond transactions, including private placement transactions, for the calendar years 2019 through and inclusive of 2023 of which your firm acted as bond counsel, both nationally and in Nevada.  </w:t>
      </w:r>
    </w:p>
    <w:p w14:paraId="182A2335" w14:textId="77777777" w:rsidR="00E277B8" w:rsidRDefault="00E277B8" w:rsidP="004211DE">
      <w:pPr>
        <w:pStyle w:val="Heading3"/>
        <w:numPr>
          <w:ilvl w:val="0"/>
          <w:numId w:val="0"/>
        </w:numPr>
        <w:ind w:left="720"/>
      </w:pPr>
    </w:p>
    <w:tbl>
      <w:tblPr>
        <w:tblStyle w:val="TableGrid1"/>
        <w:tblW w:w="0" w:type="auto"/>
        <w:jc w:val="right"/>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1796"/>
        <w:gridCol w:w="1282"/>
        <w:gridCol w:w="1530"/>
        <w:gridCol w:w="1350"/>
        <w:gridCol w:w="1800"/>
      </w:tblGrid>
      <w:tr w:rsidR="00E277B8" w:rsidRPr="006B2E6F" w14:paraId="0C5C74CF" w14:textId="77777777" w:rsidTr="00E277B8">
        <w:trPr>
          <w:jc w:val="right"/>
        </w:trPr>
        <w:tc>
          <w:tcPr>
            <w:tcW w:w="7758" w:type="dxa"/>
            <w:gridSpan w:val="5"/>
            <w:shd w:val="solid" w:color="1F497D" w:themeColor="text2" w:fill="auto"/>
            <w:vAlign w:val="bottom"/>
          </w:tcPr>
          <w:p w14:paraId="25F03CE2" w14:textId="76ADF473" w:rsidR="00E277B8" w:rsidRPr="006B2E6F" w:rsidRDefault="00E277B8" w:rsidP="00235CE4">
            <w:pPr>
              <w:jc w:val="center"/>
              <w:rPr>
                <w:rFonts w:ascii="Georgia" w:hAnsi="Georgia"/>
                <w:b/>
                <w:bCs/>
                <w:i/>
                <w:color w:val="FFFFFF" w:themeColor="background1"/>
              </w:rPr>
            </w:pPr>
            <w:r>
              <w:rPr>
                <w:rFonts w:ascii="Georgia" w:hAnsi="Georgia"/>
                <w:b/>
                <w:bCs/>
                <w:i/>
                <w:color w:val="FFFFFF" w:themeColor="background1"/>
              </w:rPr>
              <w:t xml:space="preserve">Firm’s Bond </w:t>
            </w:r>
            <w:r w:rsidRPr="006B2E6F">
              <w:rPr>
                <w:rFonts w:ascii="Georgia" w:hAnsi="Georgia"/>
                <w:b/>
                <w:bCs/>
                <w:i/>
                <w:color w:val="FFFFFF" w:themeColor="background1"/>
              </w:rPr>
              <w:t>Counsel Experience</w:t>
            </w:r>
          </w:p>
        </w:tc>
      </w:tr>
      <w:tr w:rsidR="00E277B8" w:rsidRPr="006B2E6F" w14:paraId="44A80D11" w14:textId="77777777" w:rsidTr="00E277B8">
        <w:trPr>
          <w:jc w:val="right"/>
        </w:trPr>
        <w:tc>
          <w:tcPr>
            <w:tcW w:w="1796" w:type="dxa"/>
          </w:tcPr>
          <w:p w14:paraId="51F9E058" w14:textId="77777777" w:rsidR="00E277B8" w:rsidRPr="006B2E6F" w:rsidRDefault="00E277B8" w:rsidP="00235CE4">
            <w:pPr>
              <w:rPr>
                <w:rFonts w:ascii="Georgia" w:hAnsi="Georgia"/>
                <w:b/>
                <w:bCs/>
              </w:rPr>
            </w:pPr>
          </w:p>
        </w:tc>
        <w:tc>
          <w:tcPr>
            <w:tcW w:w="2812" w:type="dxa"/>
            <w:gridSpan w:val="2"/>
          </w:tcPr>
          <w:p w14:paraId="7A20842E" w14:textId="77777777" w:rsidR="00E277B8" w:rsidRPr="006B2E6F" w:rsidRDefault="00E277B8" w:rsidP="00235CE4">
            <w:pPr>
              <w:jc w:val="center"/>
              <w:rPr>
                <w:rFonts w:ascii="Georgia" w:hAnsi="Georgia"/>
                <w:b/>
                <w:bCs/>
              </w:rPr>
            </w:pPr>
            <w:r w:rsidRPr="006B2E6F">
              <w:rPr>
                <w:rFonts w:ascii="Georgia" w:hAnsi="Georgia"/>
                <w:b/>
                <w:bCs/>
              </w:rPr>
              <w:t>U.S.</w:t>
            </w:r>
          </w:p>
        </w:tc>
        <w:tc>
          <w:tcPr>
            <w:tcW w:w="3150" w:type="dxa"/>
            <w:gridSpan w:val="2"/>
          </w:tcPr>
          <w:p w14:paraId="4C7BCE59" w14:textId="77777777" w:rsidR="00E277B8" w:rsidRPr="006B2E6F" w:rsidRDefault="00E277B8" w:rsidP="00235CE4">
            <w:pPr>
              <w:jc w:val="center"/>
              <w:rPr>
                <w:rFonts w:ascii="Georgia" w:hAnsi="Georgia"/>
                <w:b/>
                <w:bCs/>
              </w:rPr>
            </w:pPr>
            <w:r w:rsidRPr="006B2E6F">
              <w:rPr>
                <w:rFonts w:ascii="Georgia" w:hAnsi="Georgia"/>
                <w:b/>
                <w:bCs/>
              </w:rPr>
              <w:t>Nevada</w:t>
            </w:r>
          </w:p>
        </w:tc>
      </w:tr>
      <w:tr w:rsidR="00E277B8" w:rsidRPr="006B2E6F" w14:paraId="68DCC0F4" w14:textId="77777777" w:rsidTr="00E277B8">
        <w:trPr>
          <w:jc w:val="right"/>
        </w:trPr>
        <w:tc>
          <w:tcPr>
            <w:tcW w:w="1796" w:type="dxa"/>
          </w:tcPr>
          <w:p w14:paraId="7E0A0BC1" w14:textId="77777777" w:rsidR="00E277B8" w:rsidRPr="006B2E6F" w:rsidRDefault="00E277B8" w:rsidP="00235CE4">
            <w:pPr>
              <w:rPr>
                <w:rFonts w:ascii="Georgia" w:hAnsi="Georgia"/>
                <w:bCs/>
              </w:rPr>
            </w:pPr>
            <w:r w:rsidRPr="006B2E6F">
              <w:rPr>
                <w:rFonts w:ascii="Georgia" w:hAnsi="Georgia"/>
                <w:b/>
                <w:bCs/>
              </w:rPr>
              <w:t>Year</w:t>
            </w:r>
          </w:p>
        </w:tc>
        <w:tc>
          <w:tcPr>
            <w:tcW w:w="1282" w:type="dxa"/>
          </w:tcPr>
          <w:p w14:paraId="6271EF5C" w14:textId="77777777" w:rsidR="00E277B8" w:rsidRPr="006B2E6F" w:rsidRDefault="00E277B8" w:rsidP="00235CE4">
            <w:pPr>
              <w:jc w:val="center"/>
              <w:rPr>
                <w:rFonts w:ascii="Georgia" w:hAnsi="Georgia"/>
                <w:b/>
                <w:bCs/>
              </w:rPr>
            </w:pPr>
            <w:r w:rsidRPr="006B2E6F">
              <w:rPr>
                <w:rFonts w:ascii="Georgia" w:hAnsi="Georgia"/>
                <w:b/>
                <w:bCs/>
              </w:rPr>
              <w:t># of Issues</w:t>
            </w:r>
          </w:p>
        </w:tc>
        <w:tc>
          <w:tcPr>
            <w:tcW w:w="1530" w:type="dxa"/>
          </w:tcPr>
          <w:p w14:paraId="47F88D30" w14:textId="77777777" w:rsidR="00E277B8" w:rsidRPr="006B2E6F" w:rsidRDefault="00E277B8"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c>
          <w:tcPr>
            <w:tcW w:w="1350" w:type="dxa"/>
          </w:tcPr>
          <w:p w14:paraId="254D5271" w14:textId="77777777" w:rsidR="00E277B8" w:rsidRPr="006B2E6F" w:rsidRDefault="00E277B8" w:rsidP="00235CE4">
            <w:pPr>
              <w:jc w:val="center"/>
              <w:rPr>
                <w:rFonts w:ascii="Georgia" w:hAnsi="Georgia"/>
                <w:bCs/>
              </w:rPr>
            </w:pPr>
            <w:r w:rsidRPr="006B2E6F">
              <w:rPr>
                <w:rFonts w:ascii="Georgia" w:hAnsi="Georgia"/>
                <w:b/>
                <w:bCs/>
              </w:rPr>
              <w:t># of Issues</w:t>
            </w:r>
          </w:p>
        </w:tc>
        <w:tc>
          <w:tcPr>
            <w:tcW w:w="1800" w:type="dxa"/>
          </w:tcPr>
          <w:p w14:paraId="22607106" w14:textId="77777777" w:rsidR="00E277B8" w:rsidRPr="006B2E6F" w:rsidRDefault="00E277B8" w:rsidP="00235CE4">
            <w:pPr>
              <w:jc w:val="center"/>
              <w:rPr>
                <w:rFonts w:ascii="Georgia" w:hAnsi="Georgia"/>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r>
      <w:tr w:rsidR="00E277B8" w:rsidRPr="006B2E6F" w14:paraId="678344DE" w14:textId="77777777" w:rsidTr="00E277B8">
        <w:trPr>
          <w:jc w:val="right"/>
        </w:trPr>
        <w:tc>
          <w:tcPr>
            <w:tcW w:w="1796" w:type="dxa"/>
          </w:tcPr>
          <w:p w14:paraId="77E33F4E" w14:textId="77777777" w:rsidR="00E277B8" w:rsidRPr="006B2E6F" w:rsidRDefault="00E277B8" w:rsidP="00235CE4">
            <w:pPr>
              <w:rPr>
                <w:rFonts w:ascii="Georgia" w:hAnsi="Georgia"/>
                <w:bCs/>
              </w:rPr>
            </w:pPr>
            <w:r w:rsidRPr="006B2E6F">
              <w:rPr>
                <w:rFonts w:ascii="Georgia" w:hAnsi="Georgia"/>
                <w:bCs/>
              </w:rPr>
              <w:t>20</w:t>
            </w:r>
            <w:r>
              <w:rPr>
                <w:rFonts w:ascii="Georgia" w:hAnsi="Georgia"/>
                <w:bCs/>
              </w:rPr>
              <w:t>19</w:t>
            </w:r>
          </w:p>
        </w:tc>
        <w:tc>
          <w:tcPr>
            <w:tcW w:w="1282" w:type="dxa"/>
          </w:tcPr>
          <w:p w14:paraId="64009E67" w14:textId="77777777" w:rsidR="00E277B8" w:rsidRPr="006B2E6F" w:rsidRDefault="00E277B8" w:rsidP="00235CE4">
            <w:pPr>
              <w:rPr>
                <w:rFonts w:ascii="Georgia" w:hAnsi="Georgia"/>
                <w:bCs/>
              </w:rPr>
            </w:pPr>
          </w:p>
        </w:tc>
        <w:tc>
          <w:tcPr>
            <w:tcW w:w="1530" w:type="dxa"/>
          </w:tcPr>
          <w:p w14:paraId="06C9B40E" w14:textId="77777777" w:rsidR="00E277B8" w:rsidRPr="006B2E6F" w:rsidRDefault="00E277B8" w:rsidP="00235CE4">
            <w:pPr>
              <w:rPr>
                <w:rFonts w:ascii="Georgia" w:hAnsi="Georgia"/>
                <w:bCs/>
              </w:rPr>
            </w:pPr>
          </w:p>
        </w:tc>
        <w:tc>
          <w:tcPr>
            <w:tcW w:w="1350" w:type="dxa"/>
          </w:tcPr>
          <w:p w14:paraId="030D4060" w14:textId="77777777" w:rsidR="00E277B8" w:rsidRPr="006B2E6F" w:rsidRDefault="00E277B8" w:rsidP="00235CE4">
            <w:pPr>
              <w:rPr>
                <w:rFonts w:ascii="Georgia" w:hAnsi="Georgia"/>
                <w:bCs/>
              </w:rPr>
            </w:pPr>
          </w:p>
        </w:tc>
        <w:tc>
          <w:tcPr>
            <w:tcW w:w="1800" w:type="dxa"/>
          </w:tcPr>
          <w:p w14:paraId="2E6B5AB3" w14:textId="77777777" w:rsidR="00E277B8" w:rsidRPr="006B2E6F" w:rsidRDefault="00E277B8" w:rsidP="00235CE4">
            <w:pPr>
              <w:rPr>
                <w:rFonts w:ascii="Georgia" w:hAnsi="Georgia"/>
                <w:bCs/>
              </w:rPr>
            </w:pPr>
          </w:p>
        </w:tc>
      </w:tr>
      <w:tr w:rsidR="00E277B8" w:rsidRPr="006B2E6F" w14:paraId="3393729B" w14:textId="77777777" w:rsidTr="00E277B8">
        <w:trPr>
          <w:jc w:val="right"/>
        </w:trPr>
        <w:tc>
          <w:tcPr>
            <w:tcW w:w="1796" w:type="dxa"/>
          </w:tcPr>
          <w:p w14:paraId="31F5E033" w14:textId="77777777" w:rsidR="00E277B8" w:rsidRPr="006B2E6F" w:rsidRDefault="00E277B8" w:rsidP="00235CE4">
            <w:pPr>
              <w:rPr>
                <w:rFonts w:ascii="Georgia" w:hAnsi="Georgia"/>
                <w:bCs/>
              </w:rPr>
            </w:pPr>
            <w:r w:rsidRPr="006B2E6F">
              <w:rPr>
                <w:rFonts w:ascii="Georgia" w:hAnsi="Georgia"/>
                <w:bCs/>
              </w:rPr>
              <w:t>20</w:t>
            </w:r>
            <w:r>
              <w:rPr>
                <w:rFonts w:ascii="Georgia" w:hAnsi="Georgia"/>
                <w:bCs/>
              </w:rPr>
              <w:t>20</w:t>
            </w:r>
          </w:p>
        </w:tc>
        <w:tc>
          <w:tcPr>
            <w:tcW w:w="1282" w:type="dxa"/>
          </w:tcPr>
          <w:p w14:paraId="40A6DF6A" w14:textId="77777777" w:rsidR="00E277B8" w:rsidRPr="006B2E6F" w:rsidRDefault="00E277B8" w:rsidP="00235CE4">
            <w:pPr>
              <w:rPr>
                <w:rFonts w:ascii="Georgia" w:hAnsi="Georgia"/>
                <w:bCs/>
              </w:rPr>
            </w:pPr>
          </w:p>
        </w:tc>
        <w:tc>
          <w:tcPr>
            <w:tcW w:w="1530" w:type="dxa"/>
          </w:tcPr>
          <w:p w14:paraId="5CD5CC02" w14:textId="77777777" w:rsidR="00E277B8" w:rsidRPr="006B2E6F" w:rsidRDefault="00E277B8" w:rsidP="00235CE4">
            <w:pPr>
              <w:rPr>
                <w:rFonts w:ascii="Georgia" w:hAnsi="Georgia"/>
                <w:bCs/>
              </w:rPr>
            </w:pPr>
          </w:p>
        </w:tc>
        <w:tc>
          <w:tcPr>
            <w:tcW w:w="1350" w:type="dxa"/>
          </w:tcPr>
          <w:p w14:paraId="11005527" w14:textId="77777777" w:rsidR="00E277B8" w:rsidRPr="006B2E6F" w:rsidRDefault="00E277B8" w:rsidP="00235CE4">
            <w:pPr>
              <w:rPr>
                <w:rFonts w:ascii="Georgia" w:hAnsi="Georgia"/>
                <w:bCs/>
              </w:rPr>
            </w:pPr>
          </w:p>
        </w:tc>
        <w:tc>
          <w:tcPr>
            <w:tcW w:w="1800" w:type="dxa"/>
          </w:tcPr>
          <w:p w14:paraId="54CF6646" w14:textId="77777777" w:rsidR="00E277B8" w:rsidRPr="006B2E6F" w:rsidRDefault="00E277B8" w:rsidP="00235CE4">
            <w:pPr>
              <w:rPr>
                <w:rFonts w:ascii="Georgia" w:hAnsi="Georgia"/>
                <w:bCs/>
              </w:rPr>
            </w:pPr>
          </w:p>
        </w:tc>
      </w:tr>
      <w:tr w:rsidR="00E277B8" w:rsidRPr="006B2E6F" w14:paraId="24C9775A" w14:textId="77777777" w:rsidTr="00E277B8">
        <w:trPr>
          <w:jc w:val="right"/>
        </w:trPr>
        <w:tc>
          <w:tcPr>
            <w:tcW w:w="1796" w:type="dxa"/>
          </w:tcPr>
          <w:p w14:paraId="3AA082B8" w14:textId="77777777" w:rsidR="00E277B8" w:rsidRPr="006B2E6F" w:rsidRDefault="00E277B8" w:rsidP="00235CE4">
            <w:pPr>
              <w:rPr>
                <w:rFonts w:ascii="Georgia" w:hAnsi="Georgia"/>
                <w:bCs/>
              </w:rPr>
            </w:pPr>
            <w:r w:rsidRPr="006B2E6F">
              <w:rPr>
                <w:rFonts w:ascii="Georgia" w:hAnsi="Georgia"/>
                <w:bCs/>
              </w:rPr>
              <w:t>20</w:t>
            </w:r>
            <w:r>
              <w:rPr>
                <w:rFonts w:ascii="Georgia" w:hAnsi="Georgia"/>
                <w:bCs/>
              </w:rPr>
              <w:t>21</w:t>
            </w:r>
          </w:p>
        </w:tc>
        <w:tc>
          <w:tcPr>
            <w:tcW w:w="1282" w:type="dxa"/>
          </w:tcPr>
          <w:p w14:paraId="3AC3A197" w14:textId="77777777" w:rsidR="00E277B8" w:rsidRPr="006B2E6F" w:rsidRDefault="00E277B8" w:rsidP="00235CE4">
            <w:pPr>
              <w:rPr>
                <w:rFonts w:ascii="Georgia" w:hAnsi="Georgia"/>
                <w:bCs/>
              </w:rPr>
            </w:pPr>
          </w:p>
        </w:tc>
        <w:tc>
          <w:tcPr>
            <w:tcW w:w="1530" w:type="dxa"/>
          </w:tcPr>
          <w:p w14:paraId="7E1AE209" w14:textId="77777777" w:rsidR="00E277B8" w:rsidRPr="006B2E6F" w:rsidRDefault="00E277B8" w:rsidP="00235CE4">
            <w:pPr>
              <w:rPr>
                <w:rFonts w:ascii="Georgia" w:hAnsi="Georgia"/>
                <w:bCs/>
              </w:rPr>
            </w:pPr>
          </w:p>
        </w:tc>
        <w:tc>
          <w:tcPr>
            <w:tcW w:w="1350" w:type="dxa"/>
          </w:tcPr>
          <w:p w14:paraId="685E7EB5" w14:textId="77777777" w:rsidR="00E277B8" w:rsidRPr="006B2E6F" w:rsidRDefault="00E277B8" w:rsidP="00235CE4">
            <w:pPr>
              <w:rPr>
                <w:rFonts w:ascii="Georgia" w:hAnsi="Georgia"/>
                <w:bCs/>
              </w:rPr>
            </w:pPr>
          </w:p>
        </w:tc>
        <w:tc>
          <w:tcPr>
            <w:tcW w:w="1800" w:type="dxa"/>
          </w:tcPr>
          <w:p w14:paraId="0C2FE74F" w14:textId="77777777" w:rsidR="00E277B8" w:rsidRPr="006B2E6F" w:rsidRDefault="00E277B8" w:rsidP="00235CE4">
            <w:pPr>
              <w:rPr>
                <w:rFonts w:ascii="Georgia" w:hAnsi="Georgia"/>
                <w:bCs/>
              </w:rPr>
            </w:pPr>
          </w:p>
        </w:tc>
      </w:tr>
      <w:tr w:rsidR="00E277B8" w:rsidRPr="006B2E6F" w14:paraId="206ED9BC" w14:textId="77777777" w:rsidTr="00E277B8">
        <w:trPr>
          <w:jc w:val="right"/>
        </w:trPr>
        <w:tc>
          <w:tcPr>
            <w:tcW w:w="1796" w:type="dxa"/>
          </w:tcPr>
          <w:p w14:paraId="5FF46D44" w14:textId="77777777" w:rsidR="00E277B8" w:rsidRPr="006B2E6F" w:rsidRDefault="00E277B8" w:rsidP="00235CE4">
            <w:pPr>
              <w:rPr>
                <w:rFonts w:ascii="Georgia" w:hAnsi="Georgia"/>
                <w:bCs/>
              </w:rPr>
            </w:pPr>
            <w:r w:rsidRPr="006B2E6F">
              <w:rPr>
                <w:rFonts w:ascii="Georgia" w:hAnsi="Georgia"/>
                <w:bCs/>
              </w:rPr>
              <w:t>20</w:t>
            </w:r>
            <w:r>
              <w:rPr>
                <w:rFonts w:ascii="Georgia" w:hAnsi="Georgia"/>
                <w:bCs/>
              </w:rPr>
              <w:t>22</w:t>
            </w:r>
          </w:p>
        </w:tc>
        <w:tc>
          <w:tcPr>
            <w:tcW w:w="1282" w:type="dxa"/>
          </w:tcPr>
          <w:p w14:paraId="3F10C509" w14:textId="77777777" w:rsidR="00E277B8" w:rsidRPr="006B2E6F" w:rsidRDefault="00E277B8" w:rsidP="00235CE4">
            <w:pPr>
              <w:rPr>
                <w:rFonts w:ascii="Georgia" w:hAnsi="Georgia"/>
                <w:bCs/>
              </w:rPr>
            </w:pPr>
          </w:p>
        </w:tc>
        <w:tc>
          <w:tcPr>
            <w:tcW w:w="1530" w:type="dxa"/>
          </w:tcPr>
          <w:p w14:paraId="0163C35D" w14:textId="77777777" w:rsidR="00E277B8" w:rsidRPr="006B2E6F" w:rsidRDefault="00E277B8" w:rsidP="00235CE4">
            <w:pPr>
              <w:rPr>
                <w:rFonts w:ascii="Georgia" w:hAnsi="Georgia"/>
                <w:bCs/>
              </w:rPr>
            </w:pPr>
          </w:p>
        </w:tc>
        <w:tc>
          <w:tcPr>
            <w:tcW w:w="1350" w:type="dxa"/>
          </w:tcPr>
          <w:p w14:paraId="6B4A7922" w14:textId="77777777" w:rsidR="00E277B8" w:rsidRPr="006B2E6F" w:rsidRDefault="00E277B8" w:rsidP="00235CE4">
            <w:pPr>
              <w:rPr>
                <w:rFonts w:ascii="Georgia" w:hAnsi="Georgia"/>
                <w:bCs/>
              </w:rPr>
            </w:pPr>
          </w:p>
        </w:tc>
        <w:tc>
          <w:tcPr>
            <w:tcW w:w="1800" w:type="dxa"/>
          </w:tcPr>
          <w:p w14:paraId="23160FF4" w14:textId="77777777" w:rsidR="00E277B8" w:rsidRPr="006B2E6F" w:rsidRDefault="00E277B8" w:rsidP="00235CE4">
            <w:pPr>
              <w:rPr>
                <w:rFonts w:ascii="Georgia" w:hAnsi="Georgia"/>
                <w:bCs/>
              </w:rPr>
            </w:pPr>
          </w:p>
        </w:tc>
      </w:tr>
      <w:tr w:rsidR="00E277B8" w:rsidRPr="006B2E6F" w14:paraId="75741188" w14:textId="77777777" w:rsidTr="00E277B8">
        <w:trPr>
          <w:jc w:val="right"/>
        </w:trPr>
        <w:tc>
          <w:tcPr>
            <w:tcW w:w="1796" w:type="dxa"/>
          </w:tcPr>
          <w:p w14:paraId="57A3CFD2" w14:textId="77777777" w:rsidR="00E277B8" w:rsidRPr="006B2E6F" w:rsidRDefault="00E277B8" w:rsidP="00235CE4">
            <w:pPr>
              <w:rPr>
                <w:rFonts w:ascii="Georgia" w:hAnsi="Georgia"/>
                <w:bCs/>
              </w:rPr>
            </w:pPr>
            <w:r w:rsidRPr="006B2E6F">
              <w:rPr>
                <w:rFonts w:ascii="Georgia" w:hAnsi="Georgia"/>
                <w:bCs/>
              </w:rPr>
              <w:t>20</w:t>
            </w:r>
            <w:r>
              <w:rPr>
                <w:rFonts w:ascii="Georgia" w:hAnsi="Georgia"/>
                <w:bCs/>
              </w:rPr>
              <w:t>23</w:t>
            </w:r>
          </w:p>
        </w:tc>
        <w:tc>
          <w:tcPr>
            <w:tcW w:w="1282" w:type="dxa"/>
          </w:tcPr>
          <w:p w14:paraId="426892EA" w14:textId="77777777" w:rsidR="00E277B8" w:rsidRPr="006B2E6F" w:rsidRDefault="00E277B8" w:rsidP="00235CE4">
            <w:pPr>
              <w:rPr>
                <w:rFonts w:ascii="Georgia" w:hAnsi="Georgia"/>
                <w:bCs/>
              </w:rPr>
            </w:pPr>
          </w:p>
        </w:tc>
        <w:tc>
          <w:tcPr>
            <w:tcW w:w="1530" w:type="dxa"/>
          </w:tcPr>
          <w:p w14:paraId="40D8FCDD" w14:textId="77777777" w:rsidR="00E277B8" w:rsidRPr="006B2E6F" w:rsidRDefault="00E277B8" w:rsidP="00235CE4">
            <w:pPr>
              <w:rPr>
                <w:rFonts w:ascii="Georgia" w:hAnsi="Georgia"/>
                <w:bCs/>
              </w:rPr>
            </w:pPr>
          </w:p>
        </w:tc>
        <w:tc>
          <w:tcPr>
            <w:tcW w:w="1350" w:type="dxa"/>
          </w:tcPr>
          <w:p w14:paraId="5F698CAA" w14:textId="77777777" w:rsidR="00E277B8" w:rsidRPr="006B2E6F" w:rsidRDefault="00E277B8" w:rsidP="00235CE4">
            <w:pPr>
              <w:rPr>
                <w:rFonts w:ascii="Georgia" w:hAnsi="Georgia"/>
                <w:bCs/>
              </w:rPr>
            </w:pPr>
          </w:p>
        </w:tc>
        <w:tc>
          <w:tcPr>
            <w:tcW w:w="1800" w:type="dxa"/>
          </w:tcPr>
          <w:p w14:paraId="6F46428D" w14:textId="77777777" w:rsidR="00E277B8" w:rsidRPr="006B2E6F" w:rsidRDefault="00E277B8" w:rsidP="00235CE4">
            <w:pPr>
              <w:rPr>
                <w:rFonts w:ascii="Georgia" w:hAnsi="Georgia"/>
                <w:bCs/>
              </w:rPr>
            </w:pPr>
          </w:p>
        </w:tc>
      </w:tr>
      <w:tr w:rsidR="00E277B8" w:rsidRPr="006B2E6F" w14:paraId="0A2EC1A3" w14:textId="77777777" w:rsidTr="00E277B8">
        <w:trPr>
          <w:jc w:val="right"/>
        </w:trPr>
        <w:tc>
          <w:tcPr>
            <w:tcW w:w="1796" w:type="dxa"/>
          </w:tcPr>
          <w:p w14:paraId="00D1876B" w14:textId="77777777" w:rsidR="00E277B8" w:rsidRPr="006B2E6F" w:rsidRDefault="00E277B8" w:rsidP="00235CE4">
            <w:pPr>
              <w:rPr>
                <w:rFonts w:ascii="Georgia" w:hAnsi="Georgia"/>
                <w:bCs/>
              </w:rPr>
            </w:pPr>
            <w:r w:rsidRPr="006B2E6F">
              <w:rPr>
                <w:rFonts w:ascii="Georgia" w:hAnsi="Georgia"/>
                <w:bCs/>
              </w:rPr>
              <w:t>TOTAL</w:t>
            </w:r>
          </w:p>
        </w:tc>
        <w:tc>
          <w:tcPr>
            <w:tcW w:w="1282" w:type="dxa"/>
          </w:tcPr>
          <w:p w14:paraId="0144D4D7" w14:textId="77777777" w:rsidR="00E277B8" w:rsidRPr="006B2E6F" w:rsidRDefault="00E277B8" w:rsidP="00235CE4">
            <w:pPr>
              <w:rPr>
                <w:rFonts w:ascii="Georgia" w:hAnsi="Georgia"/>
                <w:bCs/>
              </w:rPr>
            </w:pPr>
          </w:p>
        </w:tc>
        <w:tc>
          <w:tcPr>
            <w:tcW w:w="1530" w:type="dxa"/>
          </w:tcPr>
          <w:p w14:paraId="48A5DBBA" w14:textId="77777777" w:rsidR="00E277B8" w:rsidRPr="006B2E6F" w:rsidRDefault="00E277B8" w:rsidP="00235CE4">
            <w:pPr>
              <w:rPr>
                <w:rFonts w:ascii="Georgia" w:hAnsi="Georgia"/>
                <w:bCs/>
              </w:rPr>
            </w:pPr>
          </w:p>
        </w:tc>
        <w:tc>
          <w:tcPr>
            <w:tcW w:w="1350" w:type="dxa"/>
          </w:tcPr>
          <w:p w14:paraId="1DEB4693" w14:textId="77777777" w:rsidR="00E277B8" w:rsidRPr="006B2E6F" w:rsidRDefault="00E277B8" w:rsidP="00235CE4">
            <w:pPr>
              <w:rPr>
                <w:rFonts w:ascii="Georgia" w:hAnsi="Georgia"/>
                <w:bCs/>
              </w:rPr>
            </w:pPr>
          </w:p>
        </w:tc>
        <w:tc>
          <w:tcPr>
            <w:tcW w:w="1800" w:type="dxa"/>
          </w:tcPr>
          <w:p w14:paraId="65FF3204" w14:textId="77777777" w:rsidR="00E277B8" w:rsidRPr="006B2E6F" w:rsidRDefault="00E277B8" w:rsidP="00235CE4">
            <w:pPr>
              <w:rPr>
                <w:rFonts w:ascii="Georgia" w:hAnsi="Georgia"/>
                <w:bCs/>
              </w:rPr>
            </w:pPr>
          </w:p>
        </w:tc>
      </w:tr>
    </w:tbl>
    <w:p w14:paraId="6C62D0C6" w14:textId="77777777" w:rsidR="00E277B8" w:rsidRPr="00155376" w:rsidRDefault="00E277B8" w:rsidP="004211DE">
      <w:pPr>
        <w:pStyle w:val="Heading3"/>
        <w:numPr>
          <w:ilvl w:val="0"/>
          <w:numId w:val="0"/>
        </w:numPr>
        <w:ind w:left="720"/>
      </w:pPr>
    </w:p>
    <w:p w14:paraId="212644F7" w14:textId="54DC899C" w:rsidR="005A359E" w:rsidRPr="00155376" w:rsidRDefault="002B2BF2" w:rsidP="004211DE">
      <w:pPr>
        <w:pStyle w:val="Heading3"/>
      </w:pPr>
      <w:r>
        <w:t>Using</w:t>
      </w:r>
      <w:r w:rsidR="005A359E" w:rsidRPr="00155376">
        <w:t xml:space="preserve"> </w:t>
      </w:r>
      <w:r w:rsidRPr="002B2BF2">
        <w:t>the table format below, indicate the total par and number of long-term municipal bond transactions, including private placement transactions, for the calendar years 2019 through and inclusive of 2023 of which your firm acted as disclosure counsel, both nationally and in Nevada.</w:t>
      </w:r>
      <w:r w:rsidRPr="006B2E6F">
        <w:rPr>
          <w:rFonts w:ascii="Georgia" w:hAnsi="Georgia"/>
        </w:rPr>
        <w:t xml:space="preserve">  </w:t>
      </w:r>
    </w:p>
    <w:p w14:paraId="659692F0" w14:textId="77777777" w:rsidR="0029235C" w:rsidRDefault="0029235C" w:rsidP="0029235C">
      <w:pPr>
        <w:pStyle w:val="ListParagraph"/>
        <w:rPr>
          <w:rFonts w:ascii="Times New Roman" w:hAnsi="Times New Roman"/>
        </w:rPr>
      </w:pPr>
    </w:p>
    <w:tbl>
      <w:tblPr>
        <w:tblStyle w:val="TableGrid1"/>
        <w:tblW w:w="0" w:type="auto"/>
        <w:jc w:val="right"/>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1796"/>
        <w:gridCol w:w="1282"/>
        <w:gridCol w:w="1530"/>
        <w:gridCol w:w="1350"/>
        <w:gridCol w:w="1800"/>
      </w:tblGrid>
      <w:tr w:rsidR="00720C7B" w:rsidRPr="006B2E6F" w14:paraId="68A57039" w14:textId="77777777" w:rsidTr="00235CE4">
        <w:trPr>
          <w:jc w:val="right"/>
        </w:trPr>
        <w:tc>
          <w:tcPr>
            <w:tcW w:w="7758" w:type="dxa"/>
            <w:gridSpan w:val="5"/>
            <w:shd w:val="solid" w:color="1F497D" w:themeColor="text2" w:fill="auto"/>
            <w:vAlign w:val="bottom"/>
          </w:tcPr>
          <w:p w14:paraId="42C708B2" w14:textId="77777777" w:rsidR="00720C7B" w:rsidRPr="006B2E6F" w:rsidRDefault="00720C7B" w:rsidP="00235CE4">
            <w:pPr>
              <w:jc w:val="center"/>
              <w:rPr>
                <w:rFonts w:ascii="Georgia" w:hAnsi="Georgia"/>
                <w:b/>
                <w:bCs/>
                <w:i/>
                <w:color w:val="FFFFFF" w:themeColor="background1"/>
              </w:rPr>
            </w:pPr>
            <w:r w:rsidRPr="006B2E6F">
              <w:rPr>
                <w:rFonts w:ascii="Georgia" w:hAnsi="Georgia"/>
                <w:bCs/>
              </w:rPr>
              <w:br w:type="page"/>
            </w:r>
            <w:r w:rsidRPr="00054FA9">
              <w:rPr>
                <w:rFonts w:ascii="Georgia" w:hAnsi="Georgia"/>
                <w:b/>
                <w:bCs/>
                <w:i/>
                <w:color w:val="FFFFFF" w:themeColor="background1"/>
              </w:rPr>
              <w:t xml:space="preserve">Firm’s </w:t>
            </w:r>
            <w:r w:rsidRPr="006B2E6F">
              <w:rPr>
                <w:rFonts w:ascii="Georgia" w:hAnsi="Georgia"/>
                <w:b/>
                <w:bCs/>
                <w:i/>
                <w:color w:val="FFFFFF" w:themeColor="background1"/>
              </w:rPr>
              <w:t>Disclosure Counsel Experience</w:t>
            </w:r>
          </w:p>
        </w:tc>
      </w:tr>
      <w:tr w:rsidR="00720C7B" w:rsidRPr="006B2E6F" w14:paraId="5FECC680" w14:textId="77777777" w:rsidTr="00235CE4">
        <w:trPr>
          <w:jc w:val="right"/>
        </w:trPr>
        <w:tc>
          <w:tcPr>
            <w:tcW w:w="1796" w:type="dxa"/>
          </w:tcPr>
          <w:p w14:paraId="2DCF3990" w14:textId="77777777" w:rsidR="00720C7B" w:rsidRPr="006B2E6F" w:rsidRDefault="00720C7B" w:rsidP="00235CE4">
            <w:pPr>
              <w:rPr>
                <w:rFonts w:ascii="Georgia" w:hAnsi="Georgia"/>
                <w:b/>
                <w:bCs/>
              </w:rPr>
            </w:pPr>
          </w:p>
        </w:tc>
        <w:tc>
          <w:tcPr>
            <w:tcW w:w="2812" w:type="dxa"/>
            <w:gridSpan w:val="2"/>
          </w:tcPr>
          <w:p w14:paraId="01E010A6" w14:textId="77777777" w:rsidR="00720C7B" w:rsidRPr="006B2E6F" w:rsidRDefault="00720C7B" w:rsidP="00235CE4">
            <w:pPr>
              <w:jc w:val="center"/>
              <w:rPr>
                <w:rFonts w:ascii="Georgia" w:hAnsi="Georgia"/>
                <w:b/>
                <w:bCs/>
              </w:rPr>
            </w:pPr>
            <w:r w:rsidRPr="006B2E6F">
              <w:rPr>
                <w:rFonts w:ascii="Georgia" w:hAnsi="Georgia"/>
                <w:b/>
                <w:bCs/>
              </w:rPr>
              <w:t>U.S.</w:t>
            </w:r>
          </w:p>
        </w:tc>
        <w:tc>
          <w:tcPr>
            <w:tcW w:w="3150" w:type="dxa"/>
            <w:gridSpan w:val="2"/>
          </w:tcPr>
          <w:p w14:paraId="0BEB60C9" w14:textId="77777777" w:rsidR="00720C7B" w:rsidRPr="006B2E6F" w:rsidRDefault="00720C7B" w:rsidP="00235CE4">
            <w:pPr>
              <w:jc w:val="center"/>
              <w:rPr>
                <w:rFonts w:ascii="Georgia" w:hAnsi="Georgia"/>
                <w:b/>
                <w:bCs/>
              </w:rPr>
            </w:pPr>
            <w:r w:rsidRPr="006B2E6F">
              <w:rPr>
                <w:rFonts w:ascii="Georgia" w:hAnsi="Georgia"/>
                <w:b/>
                <w:bCs/>
              </w:rPr>
              <w:t>Nevada</w:t>
            </w:r>
          </w:p>
        </w:tc>
      </w:tr>
      <w:tr w:rsidR="00720C7B" w:rsidRPr="006B2E6F" w14:paraId="30B0330A" w14:textId="77777777" w:rsidTr="00235CE4">
        <w:trPr>
          <w:jc w:val="right"/>
        </w:trPr>
        <w:tc>
          <w:tcPr>
            <w:tcW w:w="1796" w:type="dxa"/>
          </w:tcPr>
          <w:p w14:paraId="19881846" w14:textId="77777777" w:rsidR="00720C7B" w:rsidRPr="006B2E6F" w:rsidRDefault="00720C7B" w:rsidP="00235CE4">
            <w:pPr>
              <w:rPr>
                <w:rFonts w:ascii="Georgia" w:hAnsi="Georgia"/>
                <w:bCs/>
              </w:rPr>
            </w:pPr>
            <w:r w:rsidRPr="006B2E6F">
              <w:rPr>
                <w:rFonts w:ascii="Georgia" w:hAnsi="Georgia"/>
                <w:b/>
                <w:bCs/>
              </w:rPr>
              <w:t>Year</w:t>
            </w:r>
          </w:p>
        </w:tc>
        <w:tc>
          <w:tcPr>
            <w:tcW w:w="1282" w:type="dxa"/>
          </w:tcPr>
          <w:p w14:paraId="151802AF" w14:textId="77777777" w:rsidR="00720C7B" w:rsidRPr="006B2E6F" w:rsidRDefault="00720C7B" w:rsidP="00235CE4">
            <w:pPr>
              <w:jc w:val="center"/>
              <w:rPr>
                <w:rFonts w:ascii="Georgia" w:hAnsi="Georgia"/>
                <w:b/>
                <w:bCs/>
              </w:rPr>
            </w:pPr>
            <w:r w:rsidRPr="006B2E6F">
              <w:rPr>
                <w:rFonts w:ascii="Georgia" w:hAnsi="Georgia"/>
                <w:b/>
                <w:bCs/>
              </w:rPr>
              <w:t># of Issues</w:t>
            </w:r>
          </w:p>
        </w:tc>
        <w:tc>
          <w:tcPr>
            <w:tcW w:w="1530" w:type="dxa"/>
          </w:tcPr>
          <w:p w14:paraId="552BB177" w14:textId="77777777" w:rsidR="00720C7B" w:rsidRPr="006B2E6F" w:rsidRDefault="00720C7B"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c>
          <w:tcPr>
            <w:tcW w:w="1350" w:type="dxa"/>
          </w:tcPr>
          <w:p w14:paraId="0843FD6C" w14:textId="77777777" w:rsidR="00720C7B" w:rsidRPr="006B2E6F" w:rsidRDefault="00720C7B" w:rsidP="00235CE4">
            <w:pPr>
              <w:jc w:val="center"/>
              <w:rPr>
                <w:rFonts w:ascii="Georgia" w:hAnsi="Georgia"/>
                <w:bCs/>
              </w:rPr>
            </w:pPr>
            <w:r w:rsidRPr="006B2E6F">
              <w:rPr>
                <w:rFonts w:ascii="Georgia" w:hAnsi="Georgia"/>
                <w:b/>
                <w:bCs/>
              </w:rPr>
              <w:t># of Issues</w:t>
            </w:r>
          </w:p>
        </w:tc>
        <w:tc>
          <w:tcPr>
            <w:tcW w:w="1800" w:type="dxa"/>
          </w:tcPr>
          <w:p w14:paraId="335DCDE2" w14:textId="77777777" w:rsidR="00720C7B" w:rsidRPr="006B2E6F" w:rsidRDefault="00720C7B" w:rsidP="00235CE4">
            <w:pPr>
              <w:jc w:val="center"/>
              <w:rPr>
                <w:rFonts w:ascii="Georgia" w:hAnsi="Georgia"/>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r>
      <w:tr w:rsidR="00720C7B" w:rsidRPr="006B2E6F" w14:paraId="75DB3E11" w14:textId="77777777" w:rsidTr="00235CE4">
        <w:trPr>
          <w:jc w:val="right"/>
        </w:trPr>
        <w:tc>
          <w:tcPr>
            <w:tcW w:w="1796" w:type="dxa"/>
          </w:tcPr>
          <w:p w14:paraId="72A2DB99" w14:textId="77777777" w:rsidR="00720C7B" w:rsidRPr="006B2E6F" w:rsidRDefault="00720C7B" w:rsidP="00235CE4">
            <w:pPr>
              <w:rPr>
                <w:rFonts w:ascii="Georgia" w:hAnsi="Georgia"/>
                <w:bCs/>
              </w:rPr>
            </w:pPr>
            <w:r>
              <w:rPr>
                <w:rFonts w:ascii="Georgia" w:hAnsi="Georgia"/>
                <w:bCs/>
              </w:rPr>
              <w:t>2019</w:t>
            </w:r>
          </w:p>
        </w:tc>
        <w:tc>
          <w:tcPr>
            <w:tcW w:w="1282" w:type="dxa"/>
          </w:tcPr>
          <w:p w14:paraId="6CCF7C08" w14:textId="77777777" w:rsidR="00720C7B" w:rsidRPr="006B2E6F" w:rsidRDefault="00720C7B" w:rsidP="00235CE4">
            <w:pPr>
              <w:rPr>
                <w:rFonts w:ascii="Georgia" w:hAnsi="Georgia"/>
                <w:bCs/>
              </w:rPr>
            </w:pPr>
          </w:p>
        </w:tc>
        <w:tc>
          <w:tcPr>
            <w:tcW w:w="1530" w:type="dxa"/>
          </w:tcPr>
          <w:p w14:paraId="6ED63E0F" w14:textId="77777777" w:rsidR="00720C7B" w:rsidRPr="006B2E6F" w:rsidRDefault="00720C7B" w:rsidP="00235CE4">
            <w:pPr>
              <w:rPr>
                <w:rFonts w:ascii="Georgia" w:hAnsi="Georgia"/>
                <w:bCs/>
              </w:rPr>
            </w:pPr>
          </w:p>
        </w:tc>
        <w:tc>
          <w:tcPr>
            <w:tcW w:w="1350" w:type="dxa"/>
          </w:tcPr>
          <w:p w14:paraId="2C17A8BB" w14:textId="77777777" w:rsidR="00720C7B" w:rsidRPr="006B2E6F" w:rsidRDefault="00720C7B" w:rsidP="00235CE4">
            <w:pPr>
              <w:rPr>
                <w:rFonts w:ascii="Georgia" w:hAnsi="Georgia"/>
                <w:bCs/>
              </w:rPr>
            </w:pPr>
          </w:p>
        </w:tc>
        <w:tc>
          <w:tcPr>
            <w:tcW w:w="1800" w:type="dxa"/>
          </w:tcPr>
          <w:p w14:paraId="22B0DB56" w14:textId="77777777" w:rsidR="00720C7B" w:rsidRPr="006B2E6F" w:rsidRDefault="00720C7B" w:rsidP="00235CE4">
            <w:pPr>
              <w:rPr>
                <w:rFonts w:ascii="Georgia" w:hAnsi="Georgia"/>
                <w:bCs/>
              </w:rPr>
            </w:pPr>
          </w:p>
        </w:tc>
      </w:tr>
      <w:tr w:rsidR="00720C7B" w:rsidRPr="006B2E6F" w14:paraId="40BC50FC" w14:textId="77777777" w:rsidTr="00235CE4">
        <w:trPr>
          <w:jc w:val="right"/>
        </w:trPr>
        <w:tc>
          <w:tcPr>
            <w:tcW w:w="1796" w:type="dxa"/>
          </w:tcPr>
          <w:p w14:paraId="76E90B7B" w14:textId="77777777" w:rsidR="00720C7B" w:rsidRPr="006B2E6F" w:rsidRDefault="00720C7B" w:rsidP="00235CE4">
            <w:pPr>
              <w:rPr>
                <w:rFonts w:ascii="Georgia" w:hAnsi="Georgia"/>
                <w:bCs/>
              </w:rPr>
            </w:pPr>
            <w:r w:rsidRPr="006B2E6F">
              <w:rPr>
                <w:rFonts w:ascii="Georgia" w:hAnsi="Georgia"/>
                <w:bCs/>
              </w:rPr>
              <w:t>20</w:t>
            </w:r>
            <w:r>
              <w:rPr>
                <w:rFonts w:ascii="Georgia" w:hAnsi="Georgia"/>
                <w:bCs/>
              </w:rPr>
              <w:t>20</w:t>
            </w:r>
          </w:p>
        </w:tc>
        <w:tc>
          <w:tcPr>
            <w:tcW w:w="1282" w:type="dxa"/>
          </w:tcPr>
          <w:p w14:paraId="656A70E2" w14:textId="77777777" w:rsidR="00720C7B" w:rsidRPr="006B2E6F" w:rsidRDefault="00720C7B" w:rsidP="00235CE4">
            <w:pPr>
              <w:rPr>
                <w:rFonts w:ascii="Georgia" w:hAnsi="Georgia"/>
                <w:bCs/>
              </w:rPr>
            </w:pPr>
          </w:p>
        </w:tc>
        <w:tc>
          <w:tcPr>
            <w:tcW w:w="1530" w:type="dxa"/>
          </w:tcPr>
          <w:p w14:paraId="3F796A0A" w14:textId="77777777" w:rsidR="00720C7B" w:rsidRPr="006B2E6F" w:rsidRDefault="00720C7B" w:rsidP="00235CE4">
            <w:pPr>
              <w:rPr>
                <w:rFonts w:ascii="Georgia" w:hAnsi="Georgia"/>
                <w:bCs/>
              </w:rPr>
            </w:pPr>
          </w:p>
        </w:tc>
        <w:tc>
          <w:tcPr>
            <w:tcW w:w="1350" w:type="dxa"/>
          </w:tcPr>
          <w:p w14:paraId="2FE5D69A" w14:textId="77777777" w:rsidR="00720C7B" w:rsidRPr="006B2E6F" w:rsidRDefault="00720C7B" w:rsidP="00235CE4">
            <w:pPr>
              <w:rPr>
                <w:rFonts w:ascii="Georgia" w:hAnsi="Georgia"/>
                <w:bCs/>
              </w:rPr>
            </w:pPr>
          </w:p>
        </w:tc>
        <w:tc>
          <w:tcPr>
            <w:tcW w:w="1800" w:type="dxa"/>
          </w:tcPr>
          <w:p w14:paraId="1F66AB0A" w14:textId="77777777" w:rsidR="00720C7B" w:rsidRPr="006B2E6F" w:rsidRDefault="00720C7B" w:rsidP="00235CE4">
            <w:pPr>
              <w:rPr>
                <w:rFonts w:ascii="Georgia" w:hAnsi="Georgia"/>
                <w:bCs/>
              </w:rPr>
            </w:pPr>
          </w:p>
        </w:tc>
      </w:tr>
      <w:tr w:rsidR="00720C7B" w:rsidRPr="006B2E6F" w14:paraId="43428AAA" w14:textId="77777777" w:rsidTr="00235CE4">
        <w:trPr>
          <w:jc w:val="right"/>
        </w:trPr>
        <w:tc>
          <w:tcPr>
            <w:tcW w:w="1796" w:type="dxa"/>
          </w:tcPr>
          <w:p w14:paraId="137BAFC9" w14:textId="77777777" w:rsidR="00720C7B" w:rsidRPr="006B2E6F" w:rsidRDefault="00720C7B" w:rsidP="00235CE4">
            <w:pPr>
              <w:rPr>
                <w:rFonts w:ascii="Georgia" w:hAnsi="Georgia"/>
                <w:bCs/>
              </w:rPr>
            </w:pPr>
            <w:r w:rsidRPr="006B2E6F">
              <w:rPr>
                <w:rFonts w:ascii="Georgia" w:hAnsi="Georgia"/>
                <w:bCs/>
              </w:rPr>
              <w:t>20</w:t>
            </w:r>
            <w:r>
              <w:rPr>
                <w:rFonts w:ascii="Georgia" w:hAnsi="Georgia"/>
                <w:bCs/>
              </w:rPr>
              <w:t>21</w:t>
            </w:r>
          </w:p>
        </w:tc>
        <w:tc>
          <w:tcPr>
            <w:tcW w:w="1282" w:type="dxa"/>
          </w:tcPr>
          <w:p w14:paraId="0B137C80" w14:textId="77777777" w:rsidR="00720C7B" w:rsidRPr="006B2E6F" w:rsidRDefault="00720C7B" w:rsidP="00235CE4">
            <w:pPr>
              <w:rPr>
                <w:rFonts w:ascii="Georgia" w:hAnsi="Georgia"/>
                <w:bCs/>
              </w:rPr>
            </w:pPr>
          </w:p>
        </w:tc>
        <w:tc>
          <w:tcPr>
            <w:tcW w:w="1530" w:type="dxa"/>
          </w:tcPr>
          <w:p w14:paraId="059C031C" w14:textId="77777777" w:rsidR="00720C7B" w:rsidRPr="006B2E6F" w:rsidRDefault="00720C7B" w:rsidP="00235CE4">
            <w:pPr>
              <w:rPr>
                <w:rFonts w:ascii="Georgia" w:hAnsi="Georgia"/>
                <w:bCs/>
              </w:rPr>
            </w:pPr>
          </w:p>
        </w:tc>
        <w:tc>
          <w:tcPr>
            <w:tcW w:w="1350" w:type="dxa"/>
          </w:tcPr>
          <w:p w14:paraId="4D2FFD06" w14:textId="77777777" w:rsidR="00720C7B" w:rsidRPr="006B2E6F" w:rsidRDefault="00720C7B" w:rsidP="00235CE4">
            <w:pPr>
              <w:rPr>
                <w:rFonts w:ascii="Georgia" w:hAnsi="Georgia"/>
                <w:bCs/>
              </w:rPr>
            </w:pPr>
          </w:p>
        </w:tc>
        <w:tc>
          <w:tcPr>
            <w:tcW w:w="1800" w:type="dxa"/>
          </w:tcPr>
          <w:p w14:paraId="450A9D54" w14:textId="77777777" w:rsidR="00720C7B" w:rsidRPr="006B2E6F" w:rsidRDefault="00720C7B" w:rsidP="00235CE4">
            <w:pPr>
              <w:rPr>
                <w:rFonts w:ascii="Georgia" w:hAnsi="Georgia"/>
                <w:bCs/>
              </w:rPr>
            </w:pPr>
          </w:p>
        </w:tc>
      </w:tr>
      <w:tr w:rsidR="00720C7B" w:rsidRPr="006B2E6F" w14:paraId="5FEB35CF" w14:textId="77777777" w:rsidTr="00235CE4">
        <w:trPr>
          <w:jc w:val="right"/>
        </w:trPr>
        <w:tc>
          <w:tcPr>
            <w:tcW w:w="1796" w:type="dxa"/>
          </w:tcPr>
          <w:p w14:paraId="6ACE6BDB" w14:textId="77777777" w:rsidR="00720C7B" w:rsidRPr="006B2E6F" w:rsidRDefault="00720C7B" w:rsidP="00235CE4">
            <w:pPr>
              <w:rPr>
                <w:rFonts w:ascii="Georgia" w:hAnsi="Georgia"/>
                <w:bCs/>
              </w:rPr>
            </w:pPr>
            <w:r w:rsidRPr="006B2E6F">
              <w:rPr>
                <w:rFonts w:ascii="Georgia" w:hAnsi="Georgia"/>
                <w:bCs/>
              </w:rPr>
              <w:t>20</w:t>
            </w:r>
            <w:r>
              <w:rPr>
                <w:rFonts w:ascii="Georgia" w:hAnsi="Georgia"/>
                <w:bCs/>
              </w:rPr>
              <w:t>22</w:t>
            </w:r>
          </w:p>
        </w:tc>
        <w:tc>
          <w:tcPr>
            <w:tcW w:w="1282" w:type="dxa"/>
          </w:tcPr>
          <w:p w14:paraId="0C0C9112" w14:textId="77777777" w:rsidR="00720C7B" w:rsidRPr="006B2E6F" w:rsidRDefault="00720C7B" w:rsidP="00235CE4">
            <w:pPr>
              <w:rPr>
                <w:rFonts w:ascii="Georgia" w:hAnsi="Georgia"/>
                <w:bCs/>
              </w:rPr>
            </w:pPr>
          </w:p>
        </w:tc>
        <w:tc>
          <w:tcPr>
            <w:tcW w:w="1530" w:type="dxa"/>
          </w:tcPr>
          <w:p w14:paraId="59261137" w14:textId="77777777" w:rsidR="00720C7B" w:rsidRPr="006B2E6F" w:rsidRDefault="00720C7B" w:rsidP="00235CE4">
            <w:pPr>
              <w:rPr>
                <w:rFonts w:ascii="Georgia" w:hAnsi="Georgia"/>
                <w:bCs/>
              </w:rPr>
            </w:pPr>
          </w:p>
        </w:tc>
        <w:tc>
          <w:tcPr>
            <w:tcW w:w="1350" w:type="dxa"/>
          </w:tcPr>
          <w:p w14:paraId="246F553B" w14:textId="77777777" w:rsidR="00720C7B" w:rsidRPr="006B2E6F" w:rsidRDefault="00720C7B" w:rsidP="00235CE4">
            <w:pPr>
              <w:rPr>
                <w:rFonts w:ascii="Georgia" w:hAnsi="Georgia"/>
                <w:bCs/>
              </w:rPr>
            </w:pPr>
          </w:p>
        </w:tc>
        <w:tc>
          <w:tcPr>
            <w:tcW w:w="1800" w:type="dxa"/>
          </w:tcPr>
          <w:p w14:paraId="5E2581A3" w14:textId="77777777" w:rsidR="00720C7B" w:rsidRPr="006B2E6F" w:rsidRDefault="00720C7B" w:rsidP="00235CE4">
            <w:pPr>
              <w:rPr>
                <w:rFonts w:ascii="Georgia" w:hAnsi="Georgia"/>
                <w:bCs/>
              </w:rPr>
            </w:pPr>
          </w:p>
        </w:tc>
      </w:tr>
      <w:tr w:rsidR="00720C7B" w:rsidRPr="006B2E6F" w14:paraId="70034A83" w14:textId="77777777" w:rsidTr="00235CE4">
        <w:trPr>
          <w:jc w:val="right"/>
        </w:trPr>
        <w:tc>
          <w:tcPr>
            <w:tcW w:w="1796" w:type="dxa"/>
          </w:tcPr>
          <w:p w14:paraId="5D7C401B" w14:textId="77777777" w:rsidR="00720C7B" w:rsidRPr="006B2E6F" w:rsidRDefault="00720C7B" w:rsidP="00235CE4">
            <w:pPr>
              <w:rPr>
                <w:rFonts w:ascii="Georgia" w:hAnsi="Georgia"/>
                <w:bCs/>
              </w:rPr>
            </w:pPr>
            <w:r w:rsidRPr="006B2E6F">
              <w:rPr>
                <w:rFonts w:ascii="Georgia" w:hAnsi="Georgia"/>
                <w:bCs/>
              </w:rPr>
              <w:t>20</w:t>
            </w:r>
            <w:r>
              <w:rPr>
                <w:rFonts w:ascii="Georgia" w:hAnsi="Georgia"/>
                <w:bCs/>
              </w:rPr>
              <w:t>23</w:t>
            </w:r>
          </w:p>
        </w:tc>
        <w:tc>
          <w:tcPr>
            <w:tcW w:w="1282" w:type="dxa"/>
          </w:tcPr>
          <w:p w14:paraId="02B439F5" w14:textId="77777777" w:rsidR="00720C7B" w:rsidRPr="006B2E6F" w:rsidRDefault="00720C7B" w:rsidP="00235CE4">
            <w:pPr>
              <w:rPr>
                <w:rFonts w:ascii="Georgia" w:hAnsi="Georgia"/>
                <w:bCs/>
              </w:rPr>
            </w:pPr>
          </w:p>
        </w:tc>
        <w:tc>
          <w:tcPr>
            <w:tcW w:w="1530" w:type="dxa"/>
          </w:tcPr>
          <w:p w14:paraId="57201FEE" w14:textId="77777777" w:rsidR="00720C7B" w:rsidRPr="006B2E6F" w:rsidRDefault="00720C7B" w:rsidP="00235CE4">
            <w:pPr>
              <w:rPr>
                <w:rFonts w:ascii="Georgia" w:hAnsi="Georgia"/>
                <w:bCs/>
              </w:rPr>
            </w:pPr>
          </w:p>
        </w:tc>
        <w:tc>
          <w:tcPr>
            <w:tcW w:w="1350" w:type="dxa"/>
          </w:tcPr>
          <w:p w14:paraId="0675C296" w14:textId="77777777" w:rsidR="00720C7B" w:rsidRPr="006B2E6F" w:rsidRDefault="00720C7B" w:rsidP="00235CE4">
            <w:pPr>
              <w:rPr>
                <w:rFonts w:ascii="Georgia" w:hAnsi="Georgia"/>
                <w:bCs/>
              </w:rPr>
            </w:pPr>
          </w:p>
        </w:tc>
        <w:tc>
          <w:tcPr>
            <w:tcW w:w="1800" w:type="dxa"/>
          </w:tcPr>
          <w:p w14:paraId="6EB6A5CB" w14:textId="77777777" w:rsidR="00720C7B" w:rsidRPr="006B2E6F" w:rsidRDefault="00720C7B" w:rsidP="00235CE4">
            <w:pPr>
              <w:rPr>
                <w:rFonts w:ascii="Georgia" w:hAnsi="Georgia"/>
                <w:bCs/>
              </w:rPr>
            </w:pPr>
          </w:p>
        </w:tc>
      </w:tr>
      <w:tr w:rsidR="00720C7B" w:rsidRPr="006B2E6F" w14:paraId="4F020041" w14:textId="77777777" w:rsidTr="00235CE4">
        <w:trPr>
          <w:jc w:val="right"/>
        </w:trPr>
        <w:tc>
          <w:tcPr>
            <w:tcW w:w="1796" w:type="dxa"/>
          </w:tcPr>
          <w:p w14:paraId="494E87D7" w14:textId="77777777" w:rsidR="00720C7B" w:rsidRPr="006B2E6F" w:rsidRDefault="00720C7B" w:rsidP="00235CE4">
            <w:pPr>
              <w:rPr>
                <w:rFonts w:ascii="Georgia" w:hAnsi="Georgia"/>
                <w:bCs/>
              </w:rPr>
            </w:pPr>
            <w:r w:rsidRPr="006B2E6F">
              <w:rPr>
                <w:rFonts w:ascii="Georgia" w:hAnsi="Georgia"/>
                <w:bCs/>
              </w:rPr>
              <w:t>TOTAL</w:t>
            </w:r>
          </w:p>
        </w:tc>
        <w:tc>
          <w:tcPr>
            <w:tcW w:w="1282" w:type="dxa"/>
          </w:tcPr>
          <w:p w14:paraId="64BE0D82" w14:textId="77777777" w:rsidR="00720C7B" w:rsidRPr="006B2E6F" w:rsidRDefault="00720C7B" w:rsidP="00235CE4">
            <w:pPr>
              <w:rPr>
                <w:rFonts w:ascii="Georgia" w:hAnsi="Georgia"/>
                <w:bCs/>
              </w:rPr>
            </w:pPr>
          </w:p>
        </w:tc>
        <w:tc>
          <w:tcPr>
            <w:tcW w:w="1530" w:type="dxa"/>
          </w:tcPr>
          <w:p w14:paraId="6A191C3A" w14:textId="77777777" w:rsidR="00720C7B" w:rsidRPr="006B2E6F" w:rsidRDefault="00720C7B" w:rsidP="00235CE4">
            <w:pPr>
              <w:rPr>
                <w:rFonts w:ascii="Georgia" w:hAnsi="Georgia"/>
                <w:bCs/>
              </w:rPr>
            </w:pPr>
          </w:p>
        </w:tc>
        <w:tc>
          <w:tcPr>
            <w:tcW w:w="1350" w:type="dxa"/>
          </w:tcPr>
          <w:p w14:paraId="605CBB67" w14:textId="77777777" w:rsidR="00720C7B" w:rsidRPr="006B2E6F" w:rsidRDefault="00720C7B" w:rsidP="00235CE4">
            <w:pPr>
              <w:rPr>
                <w:rFonts w:ascii="Georgia" w:hAnsi="Georgia"/>
                <w:bCs/>
              </w:rPr>
            </w:pPr>
          </w:p>
        </w:tc>
        <w:tc>
          <w:tcPr>
            <w:tcW w:w="1800" w:type="dxa"/>
          </w:tcPr>
          <w:p w14:paraId="608E528E" w14:textId="77777777" w:rsidR="00720C7B" w:rsidRPr="006B2E6F" w:rsidRDefault="00720C7B" w:rsidP="00235CE4">
            <w:pPr>
              <w:rPr>
                <w:rFonts w:ascii="Georgia" w:hAnsi="Georgia"/>
                <w:bCs/>
              </w:rPr>
            </w:pPr>
          </w:p>
        </w:tc>
      </w:tr>
    </w:tbl>
    <w:p w14:paraId="10BD21D1" w14:textId="77777777" w:rsidR="00720C7B" w:rsidRDefault="00720C7B" w:rsidP="0029235C">
      <w:pPr>
        <w:pStyle w:val="ListParagraph"/>
        <w:rPr>
          <w:rFonts w:ascii="Times New Roman" w:hAnsi="Times New Roman"/>
        </w:rPr>
      </w:pPr>
    </w:p>
    <w:p w14:paraId="3CB208DB" w14:textId="17B19B43" w:rsidR="000943B1" w:rsidRPr="005432B0" w:rsidRDefault="003C4329" w:rsidP="004211DE">
      <w:pPr>
        <w:pStyle w:val="Heading3"/>
      </w:pPr>
      <w:r>
        <w:t>Using</w:t>
      </w:r>
      <w:r w:rsidR="0029235C" w:rsidRPr="00155376">
        <w:t xml:space="preserve"> </w:t>
      </w:r>
      <w:r w:rsidR="005432B0" w:rsidRPr="005432B0">
        <w:t xml:space="preserve">the table format below, indicate the total par and number of long-term municipal bond transaction, including private placement transactions, for the calendar years 2019 through and inclusive of 2023 of which each of the </w:t>
      </w:r>
      <w:r w:rsidR="0004248E">
        <w:t>Key Personnel (</w:t>
      </w:r>
      <w:r w:rsidR="0024661C">
        <w:t xml:space="preserve">personnel </w:t>
      </w:r>
      <w:r w:rsidR="00403A9E">
        <w:t xml:space="preserve">who will be assigned to this contract) </w:t>
      </w:r>
      <w:r w:rsidR="005432B0" w:rsidRPr="005432B0">
        <w:t xml:space="preserve">acted as </w:t>
      </w:r>
      <w:r w:rsidR="005432B0" w:rsidRPr="003C4329">
        <w:rPr>
          <w:u w:val="single"/>
        </w:rPr>
        <w:t>lead bond counsel</w:t>
      </w:r>
      <w:r w:rsidR="005432B0" w:rsidRPr="005432B0">
        <w:t xml:space="preserve"> in Nevada</w:t>
      </w:r>
      <w:r>
        <w:t>.</w:t>
      </w:r>
    </w:p>
    <w:p w14:paraId="188C6F63" w14:textId="77777777" w:rsidR="005432B0" w:rsidRDefault="005432B0" w:rsidP="004211DE">
      <w:pPr>
        <w:pStyle w:val="Heading3"/>
        <w:numPr>
          <w:ilvl w:val="0"/>
          <w:numId w:val="0"/>
        </w:numPr>
        <w:ind w:left="720"/>
      </w:pPr>
    </w:p>
    <w:tbl>
      <w:tblPr>
        <w:tblStyle w:val="TableGrid1"/>
        <w:tblW w:w="0" w:type="auto"/>
        <w:jc w:val="right"/>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1008"/>
        <w:gridCol w:w="992"/>
        <w:gridCol w:w="1440"/>
        <w:gridCol w:w="992"/>
        <w:gridCol w:w="1620"/>
        <w:gridCol w:w="1170"/>
        <w:gridCol w:w="1440"/>
      </w:tblGrid>
      <w:tr w:rsidR="00D41833" w:rsidRPr="006B2E6F" w14:paraId="3E52CA7B" w14:textId="77777777" w:rsidTr="00235CE4">
        <w:trPr>
          <w:jc w:val="right"/>
        </w:trPr>
        <w:tc>
          <w:tcPr>
            <w:tcW w:w="8662" w:type="dxa"/>
            <w:gridSpan w:val="7"/>
            <w:shd w:val="solid" w:color="1F497D" w:themeColor="text2" w:fill="auto"/>
            <w:vAlign w:val="bottom"/>
          </w:tcPr>
          <w:p w14:paraId="387D69DB" w14:textId="77777777" w:rsidR="00D41833" w:rsidRPr="006B2E6F" w:rsidRDefault="00D41833" w:rsidP="00235CE4">
            <w:pPr>
              <w:jc w:val="center"/>
              <w:rPr>
                <w:rFonts w:ascii="Georgia" w:hAnsi="Georgia"/>
                <w:b/>
                <w:bCs/>
                <w:i/>
                <w:color w:val="FFFFFF" w:themeColor="background1"/>
              </w:rPr>
            </w:pPr>
            <w:r>
              <w:rPr>
                <w:rFonts w:ascii="Georgia" w:hAnsi="Georgia"/>
                <w:b/>
                <w:bCs/>
                <w:i/>
                <w:color w:val="FFFFFF" w:themeColor="background1"/>
              </w:rPr>
              <w:t>Lead Bond</w:t>
            </w:r>
            <w:r w:rsidRPr="006B2E6F">
              <w:rPr>
                <w:rFonts w:ascii="Georgia" w:hAnsi="Georgia"/>
                <w:b/>
                <w:bCs/>
                <w:i/>
                <w:color w:val="FFFFFF" w:themeColor="background1"/>
              </w:rPr>
              <w:t xml:space="preserve"> Counsel</w:t>
            </w:r>
            <w:r>
              <w:rPr>
                <w:rFonts w:ascii="Georgia" w:hAnsi="Georgia"/>
                <w:b/>
                <w:bCs/>
                <w:i/>
                <w:color w:val="FFFFFF" w:themeColor="background1"/>
              </w:rPr>
              <w:t>’s</w:t>
            </w:r>
            <w:r w:rsidRPr="006B2E6F">
              <w:rPr>
                <w:rFonts w:ascii="Georgia" w:hAnsi="Georgia"/>
                <w:b/>
                <w:bCs/>
                <w:i/>
                <w:color w:val="FFFFFF" w:themeColor="background1"/>
              </w:rPr>
              <w:t xml:space="preserve"> Experience in Nevada</w:t>
            </w:r>
          </w:p>
        </w:tc>
      </w:tr>
      <w:tr w:rsidR="00D41833" w:rsidRPr="006B2E6F" w14:paraId="14D725D4" w14:textId="77777777" w:rsidTr="00235CE4">
        <w:trPr>
          <w:jc w:val="right"/>
        </w:trPr>
        <w:tc>
          <w:tcPr>
            <w:tcW w:w="1008" w:type="dxa"/>
          </w:tcPr>
          <w:p w14:paraId="092E94F2" w14:textId="77777777" w:rsidR="00D41833" w:rsidRPr="006B2E6F" w:rsidRDefault="00D41833" w:rsidP="00235CE4">
            <w:pPr>
              <w:rPr>
                <w:rFonts w:ascii="Georgia" w:hAnsi="Georgia"/>
                <w:b/>
                <w:bCs/>
              </w:rPr>
            </w:pPr>
          </w:p>
        </w:tc>
        <w:tc>
          <w:tcPr>
            <w:tcW w:w="2432" w:type="dxa"/>
            <w:gridSpan w:val="2"/>
          </w:tcPr>
          <w:p w14:paraId="5B14CD99" w14:textId="77777777" w:rsidR="00D41833" w:rsidRPr="006B2E6F" w:rsidRDefault="00D41833" w:rsidP="00235CE4">
            <w:pPr>
              <w:jc w:val="center"/>
              <w:rPr>
                <w:rFonts w:ascii="Georgia" w:hAnsi="Georgia"/>
                <w:b/>
                <w:bCs/>
              </w:rPr>
            </w:pPr>
            <w:r w:rsidRPr="006B2E6F">
              <w:rPr>
                <w:rFonts w:ascii="Georgia" w:hAnsi="Georgia"/>
                <w:b/>
                <w:bCs/>
              </w:rPr>
              <w:t>Lead Attorney</w:t>
            </w:r>
          </w:p>
        </w:tc>
        <w:tc>
          <w:tcPr>
            <w:tcW w:w="2612" w:type="dxa"/>
            <w:gridSpan w:val="2"/>
          </w:tcPr>
          <w:p w14:paraId="48203D93" w14:textId="77777777" w:rsidR="00D41833" w:rsidRPr="006B2E6F" w:rsidRDefault="00D41833" w:rsidP="00235CE4">
            <w:pPr>
              <w:jc w:val="center"/>
              <w:rPr>
                <w:rFonts w:ascii="Georgia" w:hAnsi="Georgia"/>
                <w:b/>
                <w:bCs/>
              </w:rPr>
            </w:pPr>
            <w:r w:rsidRPr="006B2E6F">
              <w:rPr>
                <w:rFonts w:ascii="Georgia" w:hAnsi="Georgia"/>
                <w:b/>
                <w:bCs/>
              </w:rPr>
              <w:t>Backup Attorney #1</w:t>
            </w:r>
          </w:p>
        </w:tc>
        <w:tc>
          <w:tcPr>
            <w:tcW w:w="2610" w:type="dxa"/>
            <w:gridSpan w:val="2"/>
          </w:tcPr>
          <w:p w14:paraId="17E705D3" w14:textId="77777777" w:rsidR="00D41833" w:rsidRPr="006B2E6F" w:rsidRDefault="00D41833" w:rsidP="00235CE4">
            <w:pPr>
              <w:jc w:val="center"/>
              <w:rPr>
                <w:rFonts w:ascii="Georgia" w:hAnsi="Georgia"/>
                <w:b/>
                <w:bCs/>
              </w:rPr>
            </w:pPr>
            <w:r w:rsidRPr="006B2E6F">
              <w:rPr>
                <w:rFonts w:ascii="Georgia" w:hAnsi="Georgia"/>
                <w:b/>
                <w:bCs/>
              </w:rPr>
              <w:t>Backup Attorney #2</w:t>
            </w:r>
          </w:p>
        </w:tc>
      </w:tr>
      <w:tr w:rsidR="00D41833" w:rsidRPr="006B2E6F" w14:paraId="5719D4E7" w14:textId="77777777" w:rsidTr="00235CE4">
        <w:trPr>
          <w:jc w:val="right"/>
        </w:trPr>
        <w:tc>
          <w:tcPr>
            <w:tcW w:w="1008" w:type="dxa"/>
          </w:tcPr>
          <w:p w14:paraId="1CD2F602" w14:textId="77777777" w:rsidR="00D41833" w:rsidRPr="006B2E6F" w:rsidRDefault="00D41833" w:rsidP="00235CE4">
            <w:pPr>
              <w:rPr>
                <w:rFonts w:ascii="Georgia" w:hAnsi="Georgia"/>
                <w:bCs/>
              </w:rPr>
            </w:pPr>
            <w:r w:rsidRPr="006B2E6F">
              <w:rPr>
                <w:rFonts w:ascii="Georgia" w:hAnsi="Georgia"/>
                <w:b/>
                <w:bCs/>
              </w:rPr>
              <w:t>Year</w:t>
            </w:r>
          </w:p>
        </w:tc>
        <w:tc>
          <w:tcPr>
            <w:tcW w:w="992" w:type="dxa"/>
          </w:tcPr>
          <w:p w14:paraId="643462D9" w14:textId="77777777" w:rsidR="00D41833" w:rsidRPr="006B2E6F" w:rsidRDefault="00D41833" w:rsidP="00235CE4">
            <w:pPr>
              <w:jc w:val="center"/>
              <w:rPr>
                <w:rFonts w:ascii="Georgia" w:hAnsi="Georgia"/>
                <w:b/>
                <w:bCs/>
              </w:rPr>
            </w:pPr>
            <w:r w:rsidRPr="006B2E6F">
              <w:rPr>
                <w:rFonts w:ascii="Georgia" w:hAnsi="Georgia"/>
                <w:b/>
                <w:bCs/>
              </w:rPr>
              <w:t># of Issues</w:t>
            </w:r>
          </w:p>
        </w:tc>
        <w:tc>
          <w:tcPr>
            <w:tcW w:w="1440" w:type="dxa"/>
          </w:tcPr>
          <w:p w14:paraId="48C0FA8B" w14:textId="77777777" w:rsidR="00D41833" w:rsidRPr="006B2E6F" w:rsidRDefault="00D41833"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c>
          <w:tcPr>
            <w:tcW w:w="992" w:type="dxa"/>
          </w:tcPr>
          <w:p w14:paraId="2E588CED" w14:textId="77777777" w:rsidR="00D41833" w:rsidRPr="006B2E6F" w:rsidRDefault="00D41833" w:rsidP="00235CE4">
            <w:pPr>
              <w:jc w:val="center"/>
              <w:rPr>
                <w:rFonts w:ascii="Georgia" w:hAnsi="Georgia"/>
                <w:bCs/>
              </w:rPr>
            </w:pPr>
            <w:r w:rsidRPr="006B2E6F">
              <w:rPr>
                <w:rFonts w:ascii="Georgia" w:hAnsi="Georgia"/>
                <w:b/>
                <w:bCs/>
              </w:rPr>
              <w:t># of Issues</w:t>
            </w:r>
          </w:p>
        </w:tc>
        <w:tc>
          <w:tcPr>
            <w:tcW w:w="1620" w:type="dxa"/>
          </w:tcPr>
          <w:p w14:paraId="16231F31" w14:textId="77777777" w:rsidR="00D41833" w:rsidRDefault="00D41833" w:rsidP="00235CE4">
            <w:pPr>
              <w:jc w:val="center"/>
              <w:rPr>
                <w:rFonts w:ascii="Georgia" w:hAnsi="Georgia"/>
                <w:b/>
                <w:bCs/>
              </w:rPr>
            </w:pPr>
            <w:r>
              <w:rPr>
                <w:rFonts w:ascii="Georgia" w:hAnsi="Georgia"/>
                <w:b/>
                <w:bCs/>
              </w:rPr>
              <w:t xml:space="preserve">Total </w:t>
            </w:r>
            <w:r w:rsidRPr="006B2E6F">
              <w:rPr>
                <w:rFonts w:ascii="Georgia" w:hAnsi="Georgia"/>
                <w:b/>
                <w:bCs/>
              </w:rPr>
              <w:t>Par</w:t>
            </w:r>
          </w:p>
          <w:p w14:paraId="5C704C07" w14:textId="77777777" w:rsidR="00D41833" w:rsidRPr="006B2E6F" w:rsidRDefault="00D41833" w:rsidP="00235CE4">
            <w:pPr>
              <w:jc w:val="center"/>
              <w:rPr>
                <w:rFonts w:ascii="Georgia" w:hAnsi="Georgia"/>
                <w:bCs/>
              </w:rPr>
            </w:pPr>
            <w:r>
              <w:rPr>
                <w:rFonts w:ascii="Georgia" w:hAnsi="Georgia"/>
                <w:b/>
                <w:bCs/>
              </w:rPr>
              <w:t>Amount</w:t>
            </w:r>
          </w:p>
        </w:tc>
        <w:tc>
          <w:tcPr>
            <w:tcW w:w="1170" w:type="dxa"/>
          </w:tcPr>
          <w:p w14:paraId="5B218F58" w14:textId="77777777" w:rsidR="00D41833" w:rsidRPr="006B2E6F" w:rsidRDefault="00D41833" w:rsidP="00235CE4">
            <w:pPr>
              <w:jc w:val="center"/>
              <w:rPr>
                <w:rFonts w:ascii="Georgia" w:hAnsi="Georgia"/>
                <w:b/>
                <w:bCs/>
              </w:rPr>
            </w:pPr>
            <w:r w:rsidRPr="006B2E6F">
              <w:rPr>
                <w:rFonts w:ascii="Georgia" w:hAnsi="Georgia"/>
                <w:b/>
                <w:bCs/>
              </w:rPr>
              <w:t># of Issues</w:t>
            </w:r>
          </w:p>
        </w:tc>
        <w:tc>
          <w:tcPr>
            <w:tcW w:w="1440" w:type="dxa"/>
          </w:tcPr>
          <w:p w14:paraId="318504E7" w14:textId="77777777" w:rsidR="00D41833" w:rsidRPr="006B2E6F" w:rsidRDefault="00D41833"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r>
      <w:tr w:rsidR="00D41833" w:rsidRPr="006B2E6F" w14:paraId="0207F119" w14:textId="77777777" w:rsidTr="00235CE4">
        <w:trPr>
          <w:jc w:val="right"/>
        </w:trPr>
        <w:tc>
          <w:tcPr>
            <w:tcW w:w="1008" w:type="dxa"/>
          </w:tcPr>
          <w:p w14:paraId="15098A99" w14:textId="77777777" w:rsidR="00D41833" w:rsidRPr="006B2E6F" w:rsidRDefault="00D41833" w:rsidP="00235CE4">
            <w:pPr>
              <w:rPr>
                <w:rFonts w:ascii="Georgia" w:hAnsi="Georgia"/>
                <w:bCs/>
              </w:rPr>
            </w:pPr>
            <w:r w:rsidRPr="006B2E6F">
              <w:rPr>
                <w:rFonts w:ascii="Georgia" w:hAnsi="Georgia"/>
                <w:bCs/>
              </w:rPr>
              <w:t>20</w:t>
            </w:r>
            <w:r>
              <w:rPr>
                <w:rFonts w:ascii="Georgia" w:hAnsi="Georgia"/>
                <w:bCs/>
              </w:rPr>
              <w:t>19</w:t>
            </w:r>
          </w:p>
        </w:tc>
        <w:tc>
          <w:tcPr>
            <w:tcW w:w="992" w:type="dxa"/>
          </w:tcPr>
          <w:p w14:paraId="2A16B98B" w14:textId="77777777" w:rsidR="00D41833" w:rsidRPr="006B2E6F" w:rsidRDefault="00D41833" w:rsidP="00235CE4">
            <w:pPr>
              <w:rPr>
                <w:rFonts w:ascii="Georgia" w:hAnsi="Georgia"/>
                <w:bCs/>
              </w:rPr>
            </w:pPr>
          </w:p>
        </w:tc>
        <w:tc>
          <w:tcPr>
            <w:tcW w:w="1440" w:type="dxa"/>
          </w:tcPr>
          <w:p w14:paraId="44D8D88C" w14:textId="77777777" w:rsidR="00D41833" w:rsidRPr="006B2E6F" w:rsidRDefault="00D41833" w:rsidP="00235CE4">
            <w:pPr>
              <w:rPr>
                <w:rFonts w:ascii="Georgia" w:hAnsi="Georgia"/>
                <w:bCs/>
              </w:rPr>
            </w:pPr>
          </w:p>
        </w:tc>
        <w:tc>
          <w:tcPr>
            <w:tcW w:w="992" w:type="dxa"/>
          </w:tcPr>
          <w:p w14:paraId="4DF83E89" w14:textId="77777777" w:rsidR="00D41833" w:rsidRPr="006B2E6F" w:rsidRDefault="00D41833" w:rsidP="00235CE4">
            <w:pPr>
              <w:rPr>
                <w:rFonts w:ascii="Georgia" w:hAnsi="Georgia"/>
                <w:bCs/>
              </w:rPr>
            </w:pPr>
          </w:p>
        </w:tc>
        <w:tc>
          <w:tcPr>
            <w:tcW w:w="1620" w:type="dxa"/>
          </w:tcPr>
          <w:p w14:paraId="4783F924" w14:textId="77777777" w:rsidR="00D41833" w:rsidRPr="006B2E6F" w:rsidRDefault="00D41833" w:rsidP="00235CE4">
            <w:pPr>
              <w:rPr>
                <w:rFonts w:ascii="Georgia" w:hAnsi="Georgia"/>
                <w:bCs/>
              </w:rPr>
            </w:pPr>
          </w:p>
        </w:tc>
        <w:tc>
          <w:tcPr>
            <w:tcW w:w="1170" w:type="dxa"/>
          </w:tcPr>
          <w:p w14:paraId="2CF9BF15" w14:textId="77777777" w:rsidR="00D41833" w:rsidRPr="006B2E6F" w:rsidRDefault="00D41833" w:rsidP="00235CE4">
            <w:pPr>
              <w:rPr>
                <w:rFonts w:ascii="Georgia" w:hAnsi="Georgia"/>
                <w:bCs/>
              </w:rPr>
            </w:pPr>
          </w:p>
        </w:tc>
        <w:tc>
          <w:tcPr>
            <w:tcW w:w="1440" w:type="dxa"/>
          </w:tcPr>
          <w:p w14:paraId="04245CC7" w14:textId="77777777" w:rsidR="00D41833" w:rsidRPr="006B2E6F" w:rsidRDefault="00D41833" w:rsidP="00235CE4">
            <w:pPr>
              <w:rPr>
                <w:rFonts w:ascii="Georgia" w:hAnsi="Georgia"/>
                <w:bCs/>
              </w:rPr>
            </w:pPr>
          </w:p>
        </w:tc>
      </w:tr>
      <w:tr w:rsidR="00D41833" w:rsidRPr="006B2E6F" w14:paraId="4250AC13" w14:textId="77777777" w:rsidTr="00235CE4">
        <w:trPr>
          <w:jc w:val="right"/>
        </w:trPr>
        <w:tc>
          <w:tcPr>
            <w:tcW w:w="1008" w:type="dxa"/>
          </w:tcPr>
          <w:p w14:paraId="05B90568" w14:textId="77777777" w:rsidR="00D41833" w:rsidRPr="006B2E6F" w:rsidRDefault="00D41833" w:rsidP="00235CE4">
            <w:pPr>
              <w:rPr>
                <w:rFonts w:ascii="Georgia" w:hAnsi="Georgia"/>
                <w:bCs/>
              </w:rPr>
            </w:pPr>
            <w:r w:rsidRPr="006B2E6F">
              <w:rPr>
                <w:rFonts w:ascii="Georgia" w:hAnsi="Georgia"/>
                <w:bCs/>
              </w:rPr>
              <w:t>20</w:t>
            </w:r>
            <w:r>
              <w:rPr>
                <w:rFonts w:ascii="Georgia" w:hAnsi="Georgia"/>
                <w:bCs/>
              </w:rPr>
              <w:t>20</w:t>
            </w:r>
          </w:p>
        </w:tc>
        <w:tc>
          <w:tcPr>
            <w:tcW w:w="992" w:type="dxa"/>
          </w:tcPr>
          <w:p w14:paraId="2611188A" w14:textId="77777777" w:rsidR="00D41833" w:rsidRPr="006B2E6F" w:rsidRDefault="00D41833" w:rsidP="00235CE4">
            <w:pPr>
              <w:rPr>
                <w:rFonts w:ascii="Georgia" w:hAnsi="Georgia"/>
                <w:bCs/>
              </w:rPr>
            </w:pPr>
          </w:p>
        </w:tc>
        <w:tc>
          <w:tcPr>
            <w:tcW w:w="1440" w:type="dxa"/>
          </w:tcPr>
          <w:p w14:paraId="78E7219D" w14:textId="77777777" w:rsidR="00D41833" w:rsidRPr="006B2E6F" w:rsidRDefault="00D41833" w:rsidP="00235CE4">
            <w:pPr>
              <w:rPr>
                <w:rFonts w:ascii="Georgia" w:hAnsi="Georgia"/>
                <w:bCs/>
              </w:rPr>
            </w:pPr>
          </w:p>
        </w:tc>
        <w:tc>
          <w:tcPr>
            <w:tcW w:w="992" w:type="dxa"/>
          </w:tcPr>
          <w:p w14:paraId="56017D88" w14:textId="77777777" w:rsidR="00D41833" w:rsidRPr="006B2E6F" w:rsidRDefault="00D41833" w:rsidP="00235CE4">
            <w:pPr>
              <w:rPr>
                <w:rFonts w:ascii="Georgia" w:hAnsi="Georgia"/>
                <w:bCs/>
              </w:rPr>
            </w:pPr>
          </w:p>
        </w:tc>
        <w:tc>
          <w:tcPr>
            <w:tcW w:w="1620" w:type="dxa"/>
          </w:tcPr>
          <w:p w14:paraId="1239A572" w14:textId="77777777" w:rsidR="00D41833" w:rsidRPr="006B2E6F" w:rsidRDefault="00D41833" w:rsidP="00235CE4">
            <w:pPr>
              <w:rPr>
                <w:rFonts w:ascii="Georgia" w:hAnsi="Georgia"/>
                <w:bCs/>
              </w:rPr>
            </w:pPr>
          </w:p>
        </w:tc>
        <w:tc>
          <w:tcPr>
            <w:tcW w:w="1170" w:type="dxa"/>
          </w:tcPr>
          <w:p w14:paraId="488CD47D" w14:textId="77777777" w:rsidR="00D41833" w:rsidRPr="006B2E6F" w:rsidRDefault="00D41833" w:rsidP="00235CE4">
            <w:pPr>
              <w:rPr>
                <w:rFonts w:ascii="Georgia" w:hAnsi="Georgia"/>
                <w:bCs/>
              </w:rPr>
            </w:pPr>
          </w:p>
        </w:tc>
        <w:tc>
          <w:tcPr>
            <w:tcW w:w="1440" w:type="dxa"/>
          </w:tcPr>
          <w:p w14:paraId="5DC0A396" w14:textId="77777777" w:rsidR="00D41833" w:rsidRPr="006B2E6F" w:rsidRDefault="00D41833" w:rsidP="00235CE4">
            <w:pPr>
              <w:rPr>
                <w:rFonts w:ascii="Georgia" w:hAnsi="Georgia"/>
                <w:bCs/>
              </w:rPr>
            </w:pPr>
          </w:p>
        </w:tc>
      </w:tr>
      <w:tr w:rsidR="00D41833" w:rsidRPr="006B2E6F" w14:paraId="1B0A7DC8" w14:textId="77777777" w:rsidTr="00235CE4">
        <w:trPr>
          <w:jc w:val="right"/>
        </w:trPr>
        <w:tc>
          <w:tcPr>
            <w:tcW w:w="1008" w:type="dxa"/>
          </w:tcPr>
          <w:p w14:paraId="2BE63509" w14:textId="77777777" w:rsidR="00D41833" w:rsidRPr="006B2E6F" w:rsidRDefault="00D41833" w:rsidP="00235CE4">
            <w:pPr>
              <w:rPr>
                <w:rFonts w:ascii="Georgia" w:hAnsi="Georgia"/>
                <w:bCs/>
              </w:rPr>
            </w:pPr>
            <w:r w:rsidRPr="006B2E6F">
              <w:rPr>
                <w:rFonts w:ascii="Georgia" w:hAnsi="Georgia"/>
                <w:bCs/>
              </w:rPr>
              <w:t>20</w:t>
            </w:r>
            <w:r>
              <w:rPr>
                <w:rFonts w:ascii="Georgia" w:hAnsi="Georgia"/>
                <w:bCs/>
              </w:rPr>
              <w:t>21</w:t>
            </w:r>
          </w:p>
        </w:tc>
        <w:tc>
          <w:tcPr>
            <w:tcW w:w="992" w:type="dxa"/>
          </w:tcPr>
          <w:p w14:paraId="398D75D5" w14:textId="77777777" w:rsidR="00D41833" w:rsidRPr="006B2E6F" w:rsidRDefault="00D41833" w:rsidP="00235CE4">
            <w:pPr>
              <w:rPr>
                <w:rFonts w:ascii="Georgia" w:hAnsi="Georgia"/>
                <w:bCs/>
              </w:rPr>
            </w:pPr>
          </w:p>
        </w:tc>
        <w:tc>
          <w:tcPr>
            <w:tcW w:w="1440" w:type="dxa"/>
          </w:tcPr>
          <w:p w14:paraId="02EE44E0" w14:textId="77777777" w:rsidR="00D41833" w:rsidRPr="006B2E6F" w:rsidRDefault="00D41833" w:rsidP="00235CE4">
            <w:pPr>
              <w:rPr>
                <w:rFonts w:ascii="Georgia" w:hAnsi="Georgia"/>
                <w:bCs/>
              </w:rPr>
            </w:pPr>
          </w:p>
        </w:tc>
        <w:tc>
          <w:tcPr>
            <w:tcW w:w="992" w:type="dxa"/>
          </w:tcPr>
          <w:p w14:paraId="09D4E659" w14:textId="77777777" w:rsidR="00D41833" w:rsidRPr="006B2E6F" w:rsidRDefault="00D41833" w:rsidP="00235CE4">
            <w:pPr>
              <w:rPr>
                <w:rFonts w:ascii="Georgia" w:hAnsi="Georgia"/>
                <w:bCs/>
              </w:rPr>
            </w:pPr>
          </w:p>
        </w:tc>
        <w:tc>
          <w:tcPr>
            <w:tcW w:w="1620" w:type="dxa"/>
          </w:tcPr>
          <w:p w14:paraId="479594D0" w14:textId="77777777" w:rsidR="00D41833" w:rsidRPr="006B2E6F" w:rsidRDefault="00D41833" w:rsidP="00235CE4">
            <w:pPr>
              <w:rPr>
                <w:rFonts w:ascii="Georgia" w:hAnsi="Georgia"/>
                <w:bCs/>
              </w:rPr>
            </w:pPr>
          </w:p>
        </w:tc>
        <w:tc>
          <w:tcPr>
            <w:tcW w:w="1170" w:type="dxa"/>
          </w:tcPr>
          <w:p w14:paraId="507ACE09" w14:textId="77777777" w:rsidR="00D41833" w:rsidRPr="006B2E6F" w:rsidRDefault="00D41833" w:rsidP="00235CE4">
            <w:pPr>
              <w:rPr>
                <w:rFonts w:ascii="Georgia" w:hAnsi="Georgia"/>
                <w:bCs/>
              </w:rPr>
            </w:pPr>
          </w:p>
        </w:tc>
        <w:tc>
          <w:tcPr>
            <w:tcW w:w="1440" w:type="dxa"/>
          </w:tcPr>
          <w:p w14:paraId="123F2210" w14:textId="77777777" w:rsidR="00D41833" w:rsidRPr="006B2E6F" w:rsidRDefault="00D41833" w:rsidP="00235CE4">
            <w:pPr>
              <w:rPr>
                <w:rFonts w:ascii="Georgia" w:hAnsi="Georgia"/>
                <w:bCs/>
              </w:rPr>
            </w:pPr>
          </w:p>
        </w:tc>
      </w:tr>
      <w:tr w:rsidR="00D41833" w:rsidRPr="006B2E6F" w14:paraId="66D1A4A4" w14:textId="77777777" w:rsidTr="00235CE4">
        <w:trPr>
          <w:jc w:val="right"/>
        </w:trPr>
        <w:tc>
          <w:tcPr>
            <w:tcW w:w="1008" w:type="dxa"/>
          </w:tcPr>
          <w:p w14:paraId="7C881D72" w14:textId="77777777" w:rsidR="00D41833" w:rsidRPr="006B2E6F" w:rsidRDefault="00D41833" w:rsidP="00235CE4">
            <w:pPr>
              <w:rPr>
                <w:rFonts w:ascii="Georgia" w:hAnsi="Georgia"/>
                <w:bCs/>
              </w:rPr>
            </w:pPr>
            <w:r w:rsidRPr="006B2E6F">
              <w:rPr>
                <w:rFonts w:ascii="Georgia" w:hAnsi="Georgia"/>
                <w:bCs/>
              </w:rPr>
              <w:t>20</w:t>
            </w:r>
            <w:r>
              <w:rPr>
                <w:rFonts w:ascii="Georgia" w:hAnsi="Georgia"/>
                <w:bCs/>
              </w:rPr>
              <w:t>22</w:t>
            </w:r>
          </w:p>
        </w:tc>
        <w:tc>
          <w:tcPr>
            <w:tcW w:w="992" w:type="dxa"/>
          </w:tcPr>
          <w:p w14:paraId="0CDE9CAC" w14:textId="77777777" w:rsidR="00D41833" w:rsidRPr="006B2E6F" w:rsidRDefault="00D41833" w:rsidP="00235CE4">
            <w:pPr>
              <w:rPr>
                <w:rFonts w:ascii="Georgia" w:hAnsi="Georgia"/>
                <w:bCs/>
              </w:rPr>
            </w:pPr>
          </w:p>
        </w:tc>
        <w:tc>
          <w:tcPr>
            <w:tcW w:w="1440" w:type="dxa"/>
          </w:tcPr>
          <w:p w14:paraId="532D2882" w14:textId="77777777" w:rsidR="00D41833" w:rsidRPr="006B2E6F" w:rsidRDefault="00D41833" w:rsidP="00235CE4">
            <w:pPr>
              <w:rPr>
                <w:rFonts w:ascii="Georgia" w:hAnsi="Georgia"/>
                <w:bCs/>
              </w:rPr>
            </w:pPr>
          </w:p>
        </w:tc>
        <w:tc>
          <w:tcPr>
            <w:tcW w:w="992" w:type="dxa"/>
          </w:tcPr>
          <w:p w14:paraId="0677DBA5" w14:textId="77777777" w:rsidR="00D41833" w:rsidRPr="006B2E6F" w:rsidRDefault="00D41833" w:rsidP="00235CE4">
            <w:pPr>
              <w:rPr>
                <w:rFonts w:ascii="Georgia" w:hAnsi="Georgia"/>
                <w:bCs/>
              </w:rPr>
            </w:pPr>
          </w:p>
        </w:tc>
        <w:tc>
          <w:tcPr>
            <w:tcW w:w="1620" w:type="dxa"/>
          </w:tcPr>
          <w:p w14:paraId="3F32094E" w14:textId="77777777" w:rsidR="00D41833" w:rsidRPr="006B2E6F" w:rsidRDefault="00D41833" w:rsidP="00235CE4">
            <w:pPr>
              <w:rPr>
                <w:rFonts w:ascii="Georgia" w:hAnsi="Georgia"/>
                <w:bCs/>
              </w:rPr>
            </w:pPr>
          </w:p>
        </w:tc>
        <w:tc>
          <w:tcPr>
            <w:tcW w:w="1170" w:type="dxa"/>
          </w:tcPr>
          <w:p w14:paraId="7D9BD04C" w14:textId="77777777" w:rsidR="00D41833" w:rsidRPr="006B2E6F" w:rsidRDefault="00D41833" w:rsidP="00235CE4">
            <w:pPr>
              <w:rPr>
                <w:rFonts w:ascii="Georgia" w:hAnsi="Georgia"/>
                <w:bCs/>
              </w:rPr>
            </w:pPr>
          </w:p>
        </w:tc>
        <w:tc>
          <w:tcPr>
            <w:tcW w:w="1440" w:type="dxa"/>
          </w:tcPr>
          <w:p w14:paraId="5D92E114" w14:textId="77777777" w:rsidR="00D41833" w:rsidRPr="006B2E6F" w:rsidRDefault="00D41833" w:rsidP="00235CE4">
            <w:pPr>
              <w:rPr>
                <w:rFonts w:ascii="Georgia" w:hAnsi="Georgia"/>
                <w:bCs/>
              </w:rPr>
            </w:pPr>
          </w:p>
        </w:tc>
      </w:tr>
      <w:tr w:rsidR="00D41833" w:rsidRPr="006B2E6F" w14:paraId="594A182F" w14:textId="77777777" w:rsidTr="00235CE4">
        <w:trPr>
          <w:jc w:val="right"/>
        </w:trPr>
        <w:tc>
          <w:tcPr>
            <w:tcW w:w="1008" w:type="dxa"/>
          </w:tcPr>
          <w:p w14:paraId="13A60265" w14:textId="77777777" w:rsidR="00D41833" w:rsidRPr="006B2E6F" w:rsidRDefault="00D41833" w:rsidP="00235CE4">
            <w:pPr>
              <w:rPr>
                <w:rFonts w:ascii="Georgia" w:hAnsi="Georgia"/>
                <w:bCs/>
              </w:rPr>
            </w:pPr>
            <w:r w:rsidRPr="006B2E6F">
              <w:rPr>
                <w:rFonts w:ascii="Georgia" w:hAnsi="Georgia"/>
                <w:bCs/>
              </w:rPr>
              <w:t>20</w:t>
            </w:r>
            <w:r>
              <w:rPr>
                <w:rFonts w:ascii="Georgia" w:hAnsi="Georgia"/>
                <w:bCs/>
              </w:rPr>
              <w:t>23</w:t>
            </w:r>
          </w:p>
        </w:tc>
        <w:tc>
          <w:tcPr>
            <w:tcW w:w="992" w:type="dxa"/>
          </w:tcPr>
          <w:p w14:paraId="62B695DC" w14:textId="77777777" w:rsidR="00D41833" w:rsidRPr="006B2E6F" w:rsidRDefault="00D41833" w:rsidP="00235CE4">
            <w:pPr>
              <w:rPr>
                <w:rFonts w:ascii="Georgia" w:hAnsi="Georgia"/>
                <w:bCs/>
              </w:rPr>
            </w:pPr>
          </w:p>
        </w:tc>
        <w:tc>
          <w:tcPr>
            <w:tcW w:w="1440" w:type="dxa"/>
          </w:tcPr>
          <w:p w14:paraId="11A00978" w14:textId="77777777" w:rsidR="00D41833" w:rsidRPr="006B2E6F" w:rsidRDefault="00D41833" w:rsidP="00235CE4">
            <w:pPr>
              <w:rPr>
                <w:rFonts w:ascii="Georgia" w:hAnsi="Georgia"/>
                <w:bCs/>
              </w:rPr>
            </w:pPr>
          </w:p>
        </w:tc>
        <w:tc>
          <w:tcPr>
            <w:tcW w:w="992" w:type="dxa"/>
          </w:tcPr>
          <w:p w14:paraId="4397ED53" w14:textId="77777777" w:rsidR="00D41833" w:rsidRPr="006B2E6F" w:rsidRDefault="00D41833" w:rsidP="00235CE4">
            <w:pPr>
              <w:rPr>
                <w:rFonts w:ascii="Georgia" w:hAnsi="Georgia"/>
                <w:bCs/>
              </w:rPr>
            </w:pPr>
          </w:p>
        </w:tc>
        <w:tc>
          <w:tcPr>
            <w:tcW w:w="1620" w:type="dxa"/>
          </w:tcPr>
          <w:p w14:paraId="367873DA" w14:textId="77777777" w:rsidR="00D41833" w:rsidRPr="006B2E6F" w:rsidRDefault="00D41833" w:rsidP="00235CE4">
            <w:pPr>
              <w:rPr>
                <w:rFonts w:ascii="Georgia" w:hAnsi="Georgia"/>
                <w:bCs/>
              </w:rPr>
            </w:pPr>
          </w:p>
        </w:tc>
        <w:tc>
          <w:tcPr>
            <w:tcW w:w="1170" w:type="dxa"/>
          </w:tcPr>
          <w:p w14:paraId="46013ED9" w14:textId="77777777" w:rsidR="00D41833" w:rsidRPr="006B2E6F" w:rsidRDefault="00D41833" w:rsidP="00235CE4">
            <w:pPr>
              <w:rPr>
                <w:rFonts w:ascii="Georgia" w:hAnsi="Georgia"/>
                <w:bCs/>
              </w:rPr>
            </w:pPr>
          </w:p>
        </w:tc>
        <w:tc>
          <w:tcPr>
            <w:tcW w:w="1440" w:type="dxa"/>
          </w:tcPr>
          <w:p w14:paraId="38D4DDB4" w14:textId="77777777" w:rsidR="00D41833" w:rsidRPr="006B2E6F" w:rsidRDefault="00D41833" w:rsidP="00235CE4">
            <w:pPr>
              <w:rPr>
                <w:rFonts w:ascii="Georgia" w:hAnsi="Georgia"/>
                <w:bCs/>
              </w:rPr>
            </w:pPr>
          </w:p>
        </w:tc>
      </w:tr>
      <w:tr w:rsidR="00D41833" w:rsidRPr="006B2E6F" w14:paraId="6F62D472" w14:textId="77777777" w:rsidTr="00235CE4">
        <w:trPr>
          <w:jc w:val="right"/>
        </w:trPr>
        <w:tc>
          <w:tcPr>
            <w:tcW w:w="1008" w:type="dxa"/>
          </w:tcPr>
          <w:p w14:paraId="0A8E9C18" w14:textId="77777777" w:rsidR="00D41833" w:rsidRPr="006B2E6F" w:rsidRDefault="00D41833" w:rsidP="00235CE4">
            <w:pPr>
              <w:rPr>
                <w:rFonts w:ascii="Georgia" w:hAnsi="Georgia"/>
                <w:bCs/>
              </w:rPr>
            </w:pPr>
            <w:r w:rsidRPr="006B2E6F">
              <w:rPr>
                <w:rFonts w:ascii="Georgia" w:hAnsi="Georgia"/>
                <w:bCs/>
              </w:rPr>
              <w:t>TOTAL</w:t>
            </w:r>
          </w:p>
        </w:tc>
        <w:tc>
          <w:tcPr>
            <w:tcW w:w="992" w:type="dxa"/>
          </w:tcPr>
          <w:p w14:paraId="1C06F01B" w14:textId="77777777" w:rsidR="00D41833" w:rsidRPr="006B2E6F" w:rsidRDefault="00D41833" w:rsidP="00235CE4">
            <w:pPr>
              <w:rPr>
                <w:rFonts w:ascii="Georgia" w:hAnsi="Georgia"/>
                <w:bCs/>
              </w:rPr>
            </w:pPr>
          </w:p>
        </w:tc>
        <w:tc>
          <w:tcPr>
            <w:tcW w:w="1440" w:type="dxa"/>
          </w:tcPr>
          <w:p w14:paraId="5135F5CD" w14:textId="77777777" w:rsidR="00D41833" w:rsidRPr="006B2E6F" w:rsidRDefault="00D41833" w:rsidP="00235CE4">
            <w:pPr>
              <w:rPr>
                <w:rFonts w:ascii="Georgia" w:hAnsi="Georgia"/>
                <w:bCs/>
              </w:rPr>
            </w:pPr>
          </w:p>
        </w:tc>
        <w:tc>
          <w:tcPr>
            <w:tcW w:w="992" w:type="dxa"/>
          </w:tcPr>
          <w:p w14:paraId="1E23A9F1" w14:textId="77777777" w:rsidR="00D41833" w:rsidRPr="006B2E6F" w:rsidRDefault="00D41833" w:rsidP="00235CE4">
            <w:pPr>
              <w:rPr>
                <w:rFonts w:ascii="Georgia" w:hAnsi="Georgia"/>
                <w:bCs/>
              </w:rPr>
            </w:pPr>
          </w:p>
        </w:tc>
        <w:tc>
          <w:tcPr>
            <w:tcW w:w="1620" w:type="dxa"/>
          </w:tcPr>
          <w:p w14:paraId="593B4EAD" w14:textId="77777777" w:rsidR="00D41833" w:rsidRPr="006B2E6F" w:rsidRDefault="00D41833" w:rsidP="00235CE4">
            <w:pPr>
              <w:rPr>
                <w:rFonts w:ascii="Georgia" w:hAnsi="Georgia"/>
                <w:bCs/>
              </w:rPr>
            </w:pPr>
          </w:p>
        </w:tc>
        <w:tc>
          <w:tcPr>
            <w:tcW w:w="1170" w:type="dxa"/>
          </w:tcPr>
          <w:p w14:paraId="534631AA" w14:textId="77777777" w:rsidR="00D41833" w:rsidRPr="006B2E6F" w:rsidRDefault="00D41833" w:rsidP="00235CE4">
            <w:pPr>
              <w:rPr>
                <w:rFonts w:ascii="Georgia" w:hAnsi="Georgia"/>
                <w:bCs/>
              </w:rPr>
            </w:pPr>
          </w:p>
        </w:tc>
        <w:tc>
          <w:tcPr>
            <w:tcW w:w="1440" w:type="dxa"/>
          </w:tcPr>
          <w:p w14:paraId="46EC3966" w14:textId="77777777" w:rsidR="00D41833" w:rsidRPr="006B2E6F" w:rsidRDefault="00D41833" w:rsidP="00235CE4">
            <w:pPr>
              <w:rPr>
                <w:rFonts w:ascii="Georgia" w:hAnsi="Georgia"/>
                <w:bCs/>
              </w:rPr>
            </w:pPr>
          </w:p>
        </w:tc>
      </w:tr>
    </w:tbl>
    <w:p w14:paraId="577B83D5" w14:textId="77777777" w:rsidR="00D41833" w:rsidRPr="00155376" w:rsidRDefault="00D41833" w:rsidP="004211DE">
      <w:pPr>
        <w:pStyle w:val="Heading3"/>
        <w:numPr>
          <w:ilvl w:val="0"/>
          <w:numId w:val="0"/>
        </w:numPr>
        <w:ind w:left="720"/>
      </w:pPr>
    </w:p>
    <w:p w14:paraId="63B90366" w14:textId="0DEE24DD" w:rsidR="000943B1" w:rsidRDefault="00A07250" w:rsidP="004211DE">
      <w:pPr>
        <w:pStyle w:val="Heading3"/>
      </w:pPr>
      <w:r>
        <w:t xml:space="preserve">For </w:t>
      </w:r>
      <w:r w:rsidR="00834F8A" w:rsidRPr="00A07250">
        <w:t xml:space="preserve">2019 through and inclusive of 2023, list the specific transactions in Nevada that each </w:t>
      </w:r>
      <w:r w:rsidR="00A17DA5">
        <w:t>of the</w:t>
      </w:r>
      <w:r w:rsidR="00834F8A" w:rsidRPr="00A07250">
        <w:t xml:space="preserve"> </w:t>
      </w:r>
      <w:r w:rsidR="00A17DA5">
        <w:t xml:space="preserve">Key Personnel (personnel who will be assigned to this contract) </w:t>
      </w:r>
      <w:r w:rsidR="00834F8A" w:rsidRPr="00A07250">
        <w:t>acted as lead bond counsel in Nevada.  [</w:t>
      </w:r>
      <w:r w:rsidR="00834F8A" w:rsidRPr="00916D91">
        <w:rPr>
          <w:i/>
          <w:iCs/>
        </w:rPr>
        <w:t>NOTE:  Failure to provide information on specific issuances, which is public information, will likely result in a lower score for this area.]</w:t>
      </w:r>
    </w:p>
    <w:p w14:paraId="3129C11B" w14:textId="77777777" w:rsidR="00A07250" w:rsidRPr="00155376" w:rsidRDefault="00A07250" w:rsidP="004211DE">
      <w:pPr>
        <w:pStyle w:val="Heading3"/>
        <w:numPr>
          <w:ilvl w:val="0"/>
          <w:numId w:val="0"/>
        </w:numPr>
        <w:ind w:left="720"/>
      </w:pPr>
    </w:p>
    <w:p w14:paraId="651460D8" w14:textId="0260BC5C" w:rsidR="000F2B05" w:rsidRPr="000F2B05" w:rsidRDefault="000F2B05" w:rsidP="004211DE">
      <w:pPr>
        <w:pStyle w:val="Heading3"/>
      </w:pPr>
      <w:r w:rsidRPr="000F2B05">
        <w:lastRenderedPageBreak/>
        <w:t xml:space="preserve">Using the table format below, indicate the total par and number of long-term municipal bond transaction, including private placement transactions, for the calendar years 2019 through and inclusive of 2023 of which each of the </w:t>
      </w:r>
      <w:r w:rsidR="000058F6">
        <w:t xml:space="preserve">Key Personnel (personnel who will be assigned to this contract) </w:t>
      </w:r>
      <w:r w:rsidRPr="000F2B05">
        <w:t xml:space="preserve">acted as </w:t>
      </w:r>
      <w:r w:rsidRPr="0067426E">
        <w:rPr>
          <w:u w:val="single"/>
        </w:rPr>
        <w:t>lead disclosure counsel</w:t>
      </w:r>
      <w:r w:rsidRPr="000F2B05">
        <w:t xml:space="preserve"> in Nevada.  </w:t>
      </w:r>
    </w:p>
    <w:p w14:paraId="44F0424E" w14:textId="77777777" w:rsidR="000F0ABF" w:rsidRDefault="000F0ABF" w:rsidP="000F0ABF">
      <w:pPr>
        <w:pStyle w:val="ListParagraph"/>
        <w:rPr>
          <w:rFonts w:ascii="Times New Roman" w:hAnsi="Times New Roman"/>
        </w:rPr>
      </w:pPr>
    </w:p>
    <w:tbl>
      <w:tblPr>
        <w:tblStyle w:val="TableGrid1"/>
        <w:tblW w:w="0" w:type="auto"/>
        <w:jc w:val="right"/>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1008"/>
        <w:gridCol w:w="992"/>
        <w:gridCol w:w="1440"/>
        <w:gridCol w:w="992"/>
        <w:gridCol w:w="1620"/>
        <w:gridCol w:w="1170"/>
        <w:gridCol w:w="1440"/>
      </w:tblGrid>
      <w:tr w:rsidR="008B0D85" w:rsidRPr="006B2E6F" w14:paraId="3FBCFDC8" w14:textId="77777777" w:rsidTr="00235CE4">
        <w:trPr>
          <w:jc w:val="right"/>
        </w:trPr>
        <w:tc>
          <w:tcPr>
            <w:tcW w:w="8662" w:type="dxa"/>
            <w:gridSpan w:val="7"/>
            <w:shd w:val="solid" w:color="1F497D" w:themeColor="text2" w:fill="auto"/>
            <w:vAlign w:val="bottom"/>
          </w:tcPr>
          <w:p w14:paraId="08C319AF" w14:textId="77777777" w:rsidR="008B0D85" w:rsidRPr="006B2E6F" w:rsidRDefault="008B0D85" w:rsidP="00235CE4">
            <w:pPr>
              <w:jc w:val="center"/>
              <w:rPr>
                <w:rFonts w:ascii="Georgia" w:hAnsi="Georgia"/>
                <w:b/>
                <w:bCs/>
                <w:i/>
                <w:color w:val="FFFFFF" w:themeColor="background1"/>
              </w:rPr>
            </w:pPr>
            <w:r>
              <w:rPr>
                <w:rFonts w:ascii="Georgia" w:hAnsi="Georgia"/>
                <w:b/>
                <w:bCs/>
                <w:i/>
                <w:color w:val="FFFFFF" w:themeColor="background1"/>
              </w:rPr>
              <w:t>Lead D</w:t>
            </w:r>
            <w:r w:rsidRPr="006B2E6F">
              <w:rPr>
                <w:rFonts w:ascii="Georgia" w:hAnsi="Georgia"/>
                <w:b/>
                <w:bCs/>
                <w:i/>
                <w:color w:val="FFFFFF" w:themeColor="background1"/>
              </w:rPr>
              <w:t>isclosure Counsel</w:t>
            </w:r>
            <w:r>
              <w:rPr>
                <w:rFonts w:ascii="Georgia" w:hAnsi="Georgia"/>
                <w:b/>
                <w:bCs/>
                <w:i/>
                <w:color w:val="FFFFFF" w:themeColor="background1"/>
              </w:rPr>
              <w:t>’s</w:t>
            </w:r>
            <w:r w:rsidRPr="006B2E6F">
              <w:rPr>
                <w:rFonts w:ascii="Georgia" w:hAnsi="Georgia"/>
                <w:b/>
                <w:bCs/>
                <w:i/>
                <w:color w:val="FFFFFF" w:themeColor="background1"/>
              </w:rPr>
              <w:t xml:space="preserve"> Experience in Nevada</w:t>
            </w:r>
          </w:p>
        </w:tc>
      </w:tr>
      <w:tr w:rsidR="008B0D85" w:rsidRPr="006B2E6F" w14:paraId="3FE9815F" w14:textId="77777777" w:rsidTr="00235CE4">
        <w:trPr>
          <w:jc w:val="right"/>
        </w:trPr>
        <w:tc>
          <w:tcPr>
            <w:tcW w:w="1008" w:type="dxa"/>
          </w:tcPr>
          <w:p w14:paraId="5060A5C4" w14:textId="77777777" w:rsidR="008B0D85" w:rsidRPr="006B2E6F" w:rsidRDefault="008B0D85" w:rsidP="00235CE4">
            <w:pPr>
              <w:rPr>
                <w:rFonts w:ascii="Georgia" w:hAnsi="Georgia"/>
                <w:b/>
                <w:bCs/>
              </w:rPr>
            </w:pPr>
          </w:p>
        </w:tc>
        <w:tc>
          <w:tcPr>
            <w:tcW w:w="2432" w:type="dxa"/>
            <w:gridSpan w:val="2"/>
          </w:tcPr>
          <w:p w14:paraId="26C42E51" w14:textId="77777777" w:rsidR="008B0D85" w:rsidRPr="006B2E6F" w:rsidRDefault="008B0D85" w:rsidP="00235CE4">
            <w:pPr>
              <w:jc w:val="center"/>
              <w:rPr>
                <w:rFonts w:ascii="Georgia" w:hAnsi="Georgia"/>
                <w:b/>
                <w:bCs/>
              </w:rPr>
            </w:pPr>
            <w:r w:rsidRPr="006B2E6F">
              <w:rPr>
                <w:rFonts w:ascii="Georgia" w:hAnsi="Georgia"/>
                <w:b/>
                <w:bCs/>
              </w:rPr>
              <w:t>Lead Attorney</w:t>
            </w:r>
          </w:p>
        </w:tc>
        <w:tc>
          <w:tcPr>
            <w:tcW w:w="2612" w:type="dxa"/>
            <w:gridSpan w:val="2"/>
          </w:tcPr>
          <w:p w14:paraId="4F31924C" w14:textId="77777777" w:rsidR="008B0D85" w:rsidRPr="006B2E6F" w:rsidRDefault="008B0D85" w:rsidP="00235CE4">
            <w:pPr>
              <w:jc w:val="center"/>
              <w:rPr>
                <w:rFonts w:ascii="Georgia" w:hAnsi="Georgia"/>
                <w:b/>
                <w:bCs/>
              </w:rPr>
            </w:pPr>
            <w:r w:rsidRPr="006B2E6F">
              <w:rPr>
                <w:rFonts w:ascii="Georgia" w:hAnsi="Georgia"/>
                <w:b/>
                <w:bCs/>
              </w:rPr>
              <w:t>Backup Attorney #1</w:t>
            </w:r>
          </w:p>
        </w:tc>
        <w:tc>
          <w:tcPr>
            <w:tcW w:w="2610" w:type="dxa"/>
            <w:gridSpan w:val="2"/>
          </w:tcPr>
          <w:p w14:paraId="3BC64247" w14:textId="77777777" w:rsidR="008B0D85" w:rsidRPr="006B2E6F" w:rsidRDefault="008B0D85" w:rsidP="00235CE4">
            <w:pPr>
              <w:jc w:val="center"/>
              <w:rPr>
                <w:rFonts w:ascii="Georgia" w:hAnsi="Georgia"/>
                <w:b/>
                <w:bCs/>
              </w:rPr>
            </w:pPr>
            <w:r w:rsidRPr="006B2E6F">
              <w:rPr>
                <w:rFonts w:ascii="Georgia" w:hAnsi="Georgia"/>
                <w:b/>
                <w:bCs/>
              </w:rPr>
              <w:t>Backup Attorney #2</w:t>
            </w:r>
          </w:p>
        </w:tc>
      </w:tr>
      <w:tr w:rsidR="008B0D85" w:rsidRPr="006B2E6F" w14:paraId="79B4A5EE" w14:textId="77777777" w:rsidTr="00235CE4">
        <w:trPr>
          <w:jc w:val="right"/>
        </w:trPr>
        <w:tc>
          <w:tcPr>
            <w:tcW w:w="1008" w:type="dxa"/>
          </w:tcPr>
          <w:p w14:paraId="7C1502B5" w14:textId="77777777" w:rsidR="008B0D85" w:rsidRPr="006B2E6F" w:rsidRDefault="008B0D85" w:rsidP="00235CE4">
            <w:pPr>
              <w:rPr>
                <w:rFonts w:ascii="Georgia" w:hAnsi="Georgia"/>
                <w:bCs/>
              </w:rPr>
            </w:pPr>
            <w:r w:rsidRPr="006B2E6F">
              <w:rPr>
                <w:rFonts w:ascii="Georgia" w:hAnsi="Georgia"/>
                <w:b/>
                <w:bCs/>
              </w:rPr>
              <w:t>Year</w:t>
            </w:r>
          </w:p>
        </w:tc>
        <w:tc>
          <w:tcPr>
            <w:tcW w:w="992" w:type="dxa"/>
          </w:tcPr>
          <w:p w14:paraId="4D15DADB" w14:textId="77777777" w:rsidR="008B0D85" w:rsidRPr="006B2E6F" w:rsidRDefault="008B0D85" w:rsidP="00235CE4">
            <w:pPr>
              <w:jc w:val="center"/>
              <w:rPr>
                <w:rFonts w:ascii="Georgia" w:hAnsi="Georgia"/>
                <w:b/>
                <w:bCs/>
              </w:rPr>
            </w:pPr>
            <w:r w:rsidRPr="006B2E6F">
              <w:rPr>
                <w:rFonts w:ascii="Georgia" w:hAnsi="Georgia"/>
                <w:b/>
                <w:bCs/>
              </w:rPr>
              <w:t># of Issues</w:t>
            </w:r>
          </w:p>
        </w:tc>
        <w:tc>
          <w:tcPr>
            <w:tcW w:w="1440" w:type="dxa"/>
          </w:tcPr>
          <w:p w14:paraId="5A79DC33" w14:textId="77777777" w:rsidR="008B0D85" w:rsidRPr="006B2E6F" w:rsidRDefault="008B0D85"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c>
          <w:tcPr>
            <w:tcW w:w="992" w:type="dxa"/>
          </w:tcPr>
          <w:p w14:paraId="100165CD" w14:textId="77777777" w:rsidR="008B0D85" w:rsidRPr="006B2E6F" w:rsidRDefault="008B0D85" w:rsidP="00235CE4">
            <w:pPr>
              <w:jc w:val="center"/>
              <w:rPr>
                <w:rFonts w:ascii="Georgia" w:hAnsi="Georgia"/>
                <w:bCs/>
              </w:rPr>
            </w:pPr>
            <w:r w:rsidRPr="006B2E6F">
              <w:rPr>
                <w:rFonts w:ascii="Georgia" w:hAnsi="Georgia"/>
                <w:b/>
                <w:bCs/>
              </w:rPr>
              <w:t># of Issues</w:t>
            </w:r>
          </w:p>
        </w:tc>
        <w:tc>
          <w:tcPr>
            <w:tcW w:w="1620" w:type="dxa"/>
          </w:tcPr>
          <w:p w14:paraId="20AB11B6" w14:textId="77777777" w:rsidR="008B0D85" w:rsidRPr="006B2E6F" w:rsidRDefault="008B0D85" w:rsidP="00235CE4">
            <w:pPr>
              <w:jc w:val="center"/>
              <w:rPr>
                <w:rFonts w:ascii="Georgia" w:hAnsi="Georgia"/>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c>
          <w:tcPr>
            <w:tcW w:w="1170" w:type="dxa"/>
          </w:tcPr>
          <w:p w14:paraId="5DD33B59" w14:textId="77777777" w:rsidR="008B0D85" w:rsidRPr="006B2E6F" w:rsidRDefault="008B0D85" w:rsidP="00235CE4">
            <w:pPr>
              <w:jc w:val="center"/>
              <w:rPr>
                <w:rFonts w:ascii="Georgia" w:hAnsi="Georgia"/>
                <w:b/>
                <w:bCs/>
              </w:rPr>
            </w:pPr>
            <w:r w:rsidRPr="006B2E6F">
              <w:rPr>
                <w:rFonts w:ascii="Georgia" w:hAnsi="Georgia"/>
                <w:b/>
                <w:bCs/>
              </w:rPr>
              <w:t># of Issues</w:t>
            </w:r>
          </w:p>
        </w:tc>
        <w:tc>
          <w:tcPr>
            <w:tcW w:w="1440" w:type="dxa"/>
          </w:tcPr>
          <w:p w14:paraId="0B98A312" w14:textId="77777777" w:rsidR="008B0D85" w:rsidRPr="006B2E6F" w:rsidRDefault="008B0D85"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r>
      <w:tr w:rsidR="008B0D85" w:rsidRPr="006B2E6F" w14:paraId="4110C63D" w14:textId="77777777" w:rsidTr="00235CE4">
        <w:trPr>
          <w:jc w:val="right"/>
        </w:trPr>
        <w:tc>
          <w:tcPr>
            <w:tcW w:w="1008" w:type="dxa"/>
          </w:tcPr>
          <w:p w14:paraId="224E84BD" w14:textId="77777777" w:rsidR="008B0D85" w:rsidRPr="006B2E6F" w:rsidRDefault="008B0D85" w:rsidP="00235CE4">
            <w:pPr>
              <w:rPr>
                <w:rFonts w:ascii="Georgia" w:hAnsi="Georgia"/>
                <w:bCs/>
              </w:rPr>
            </w:pPr>
            <w:r w:rsidRPr="006B2E6F">
              <w:rPr>
                <w:rFonts w:ascii="Georgia" w:hAnsi="Georgia"/>
                <w:bCs/>
              </w:rPr>
              <w:t>20</w:t>
            </w:r>
            <w:r>
              <w:rPr>
                <w:rFonts w:ascii="Georgia" w:hAnsi="Georgia"/>
                <w:bCs/>
              </w:rPr>
              <w:t>19</w:t>
            </w:r>
          </w:p>
        </w:tc>
        <w:tc>
          <w:tcPr>
            <w:tcW w:w="992" w:type="dxa"/>
          </w:tcPr>
          <w:p w14:paraId="39470214" w14:textId="77777777" w:rsidR="008B0D85" w:rsidRPr="006B2E6F" w:rsidRDefault="008B0D85" w:rsidP="00235CE4">
            <w:pPr>
              <w:rPr>
                <w:rFonts w:ascii="Georgia" w:hAnsi="Georgia"/>
                <w:bCs/>
              </w:rPr>
            </w:pPr>
          </w:p>
        </w:tc>
        <w:tc>
          <w:tcPr>
            <w:tcW w:w="1440" w:type="dxa"/>
          </w:tcPr>
          <w:p w14:paraId="742794AD" w14:textId="77777777" w:rsidR="008B0D85" w:rsidRPr="006B2E6F" w:rsidRDefault="008B0D85" w:rsidP="00235CE4">
            <w:pPr>
              <w:rPr>
                <w:rFonts w:ascii="Georgia" w:hAnsi="Georgia"/>
                <w:bCs/>
              </w:rPr>
            </w:pPr>
          </w:p>
        </w:tc>
        <w:tc>
          <w:tcPr>
            <w:tcW w:w="992" w:type="dxa"/>
          </w:tcPr>
          <w:p w14:paraId="2D7FA1C4" w14:textId="77777777" w:rsidR="008B0D85" w:rsidRPr="006B2E6F" w:rsidRDefault="008B0D85" w:rsidP="00235CE4">
            <w:pPr>
              <w:rPr>
                <w:rFonts w:ascii="Georgia" w:hAnsi="Georgia"/>
                <w:bCs/>
              </w:rPr>
            </w:pPr>
          </w:p>
        </w:tc>
        <w:tc>
          <w:tcPr>
            <w:tcW w:w="1620" w:type="dxa"/>
          </w:tcPr>
          <w:p w14:paraId="146DABDB" w14:textId="77777777" w:rsidR="008B0D85" w:rsidRPr="006B2E6F" w:rsidRDefault="008B0D85" w:rsidP="00235CE4">
            <w:pPr>
              <w:rPr>
                <w:rFonts w:ascii="Georgia" w:hAnsi="Georgia"/>
                <w:bCs/>
              </w:rPr>
            </w:pPr>
          </w:p>
        </w:tc>
        <w:tc>
          <w:tcPr>
            <w:tcW w:w="1170" w:type="dxa"/>
          </w:tcPr>
          <w:p w14:paraId="4E66A741" w14:textId="77777777" w:rsidR="008B0D85" w:rsidRPr="006B2E6F" w:rsidRDefault="008B0D85" w:rsidP="00235CE4">
            <w:pPr>
              <w:rPr>
                <w:rFonts w:ascii="Georgia" w:hAnsi="Georgia"/>
                <w:bCs/>
              </w:rPr>
            </w:pPr>
          </w:p>
        </w:tc>
        <w:tc>
          <w:tcPr>
            <w:tcW w:w="1440" w:type="dxa"/>
          </w:tcPr>
          <w:p w14:paraId="532B5961" w14:textId="77777777" w:rsidR="008B0D85" w:rsidRPr="006B2E6F" w:rsidRDefault="008B0D85" w:rsidP="00235CE4">
            <w:pPr>
              <w:rPr>
                <w:rFonts w:ascii="Georgia" w:hAnsi="Georgia"/>
                <w:bCs/>
              </w:rPr>
            </w:pPr>
          </w:p>
        </w:tc>
      </w:tr>
      <w:tr w:rsidR="008B0D85" w:rsidRPr="006B2E6F" w14:paraId="5C6910CA" w14:textId="77777777" w:rsidTr="00235CE4">
        <w:trPr>
          <w:jc w:val="right"/>
        </w:trPr>
        <w:tc>
          <w:tcPr>
            <w:tcW w:w="1008" w:type="dxa"/>
          </w:tcPr>
          <w:p w14:paraId="3B91F07F" w14:textId="77777777" w:rsidR="008B0D85" w:rsidRPr="006B2E6F" w:rsidRDefault="008B0D85" w:rsidP="00235CE4">
            <w:pPr>
              <w:rPr>
                <w:rFonts w:ascii="Georgia" w:hAnsi="Georgia"/>
                <w:bCs/>
              </w:rPr>
            </w:pPr>
            <w:r w:rsidRPr="006B2E6F">
              <w:rPr>
                <w:rFonts w:ascii="Georgia" w:hAnsi="Georgia"/>
                <w:bCs/>
              </w:rPr>
              <w:t>20</w:t>
            </w:r>
            <w:r>
              <w:rPr>
                <w:rFonts w:ascii="Georgia" w:hAnsi="Georgia"/>
                <w:bCs/>
              </w:rPr>
              <w:t>20</w:t>
            </w:r>
          </w:p>
        </w:tc>
        <w:tc>
          <w:tcPr>
            <w:tcW w:w="992" w:type="dxa"/>
          </w:tcPr>
          <w:p w14:paraId="68C405E9" w14:textId="77777777" w:rsidR="008B0D85" w:rsidRPr="006B2E6F" w:rsidRDefault="008B0D85" w:rsidP="00235CE4">
            <w:pPr>
              <w:rPr>
                <w:rFonts w:ascii="Georgia" w:hAnsi="Georgia"/>
                <w:bCs/>
              </w:rPr>
            </w:pPr>
          </w:p>
        </w:tc>
        <w:tc>
          <w:tcPr>
            <w:tcW w:w="1440" w:type="dxa"/>
          </w:tcPr>
          <w:p w14:paraId="4323AA50" w14:textId="77777777" w:rsidR="008B0D85" w:rsidRPr="006B2E6F" w:rsidRDefault="008B0D85" w:rsidP="00235CE4">
            <w:pPr>
              <w:rPr>
                <w:rFonts w:ascii="Georgia" w:hAnsi="Georgia"/>
                <w:bCs/>
              </w:rPr>
            </w:pPr>
          </w:p>
        </w:tc>
        <w:tc>
          <w:tcPr>
            <w:tcW w:w="992" w:type="dxa"/>
          </w:tcPr>
          <w:p w14:paraId="4A49A3C4" w14:textId="77777777" w:rsidR="008B0D85" w:rsidRPr="006B2E6F" w:rsidRDefault="008B0D85" w:rsidP="00235CE4">
            <w:pPr>
              <w:rPr>
                <w:rFonts w:ascii="Georgia" w:hAnsi="Georgia"/>
                <w:bCs/>
              </w:rPr>
            </w:pPr>
          </w:p>
        </w:tc>
        <w:tc>
          <w:tcPr>
            <w:tcW w:w="1620" w:type="dxa"/>
          </w:tcPr>
          <w:p w14:paraId="061C74D7" w14:textId="77777777" w:rsidR="008B0D85" w:rsidRPr="006B2E6F" w:rsidRDefault="008B0D85" w:rsidP="00235CE4">
            <w:pPr>
              <w:rPr>
                <w:rFonts w:ascii="Georgia" w:hAnsi="Georgia"/>
                <w:bCs/>
              </w:rPr>
            </w:pPr>
          </w:p>
        </w:tc>
        <w:tc>
          <w:tcPr>
            <w:tcW w:w="1170" w:type="dxa"/>
          </w:tcPr>
          <w:p w14:paraId="0CBB1F65" w14:textId="77777777" w:rsidR="008B0D85" w:rsidRPr="006B2E6F" w:rsidRDefault="008B0D85" w:rsidP="00235CE4">
            <w:pPr>
              <w:rPr>
                <w:rFonts w:ascii="Georgia" w:hAnsi="Georgia"/>
                <w:bCs/>
              </w:rPr>
            </w:pPr>
          </w:p>
        </w:tc>
        <w:tc>
          <w:tcPr>
            <w:tcW w:w="1440" w:type="dxa"/>
          </w:tcPr>
          <w:p w14:paraId="01B01D84" w14:textId="77777777" w:rsidR="008B0D85" w:rsidRPr="006B2E6F" w:rsidRDefault="008B0D85" w:rsidP="00235CE4">
            <w:pPr>
              <w:rPr>
                <w:rFonts w:ascii="Georgia" w:hAnsi="Georgia"/>
                <w:bCs/>
              </w:rPr>
            </w:pPr>
          </w:p>
        </w:tc>
      </w:tr>
      <w:tr w:rsidR="008B0D85" w:rsidRPr="006B2E6F" w14:paraId="2E60BD72" w14:textId="77777777" w:rsidTr="00235CE4">
        <w:trPr>
          <w:jc w:val="right"/>
        </w:trPr>
        <w:tc>
          <w:tcPr>
            <w:tcW w:w="1008" w:type="dxa"/>
          </w:tcPr>
          <w:p w14:paraId="45B60C4C" w14:textId="77777777" w:rsidR="008B0D85" w:rsidRPr="006B2E6F" w:rsidRDefault="008B0D85" w:rsidP="00235CE4">
            <w:pPr>
              <w:rPr>
                <w:rFonts w:ascii="Georgia" w:hAnsi="Georgia"/>
                <w:bCs/>
              </w:rPr>
            </w:pPr>
            <w:r w:rsidRPr="006B2E6F">
              <w:rPr>
                <w:rFonts w:ascii="Georgia" w:hAnsi="Georgia"/>
                <w:bCs/>
              </w:rPr>
              <w:t>20</w:t>
            </w:r>
            <w:r>
              <w:rPr>
                <w:rFonts w:ascii="Georgia" w:hAnsi="Georgia"/>
                <w:bCs/>
              </w:rPr>
              <w:t>21</w:t>
            </w:r>
          </w:p>
        </w:tc>
        <w:tc>
          <w:tcPr>
            <w:tcW w:w="992" w:type="dxa"/>
          </w:tcPr>
          <w:p w14:paraId="74029433" w14:textId="77777777" w:rsidR="008B0D85" w:rsidRPr="006B2E6F" w:rsidRDefault="008B0D85" w:rsidP="00235CE4">
            <w:pPr>
              <w:rPr>
                <w:rFonts w:ascii="Georgia" w:hAnsi="Georgia"/>
                <w:bCs/>
              </w:rPr>
            </w:pPr>
          </w:p>
        </w:tc>
        <w:tc>
          <w:tcPr>
            <w:tcW w:w="1440" w:type="dxa"/>
          </w:tcPr>
          <w:p w14:paraId="21FC6B81" w14:textId="77777777" w:rsidR="008B0D85" w:rsidRPr="006B2E6F" w:rsidRDefault="008B0D85" w:rsidP="00235CE4">
            <w:pPr>
              <w:rPr>
                <w:rFonts w:ascii="Georgia" w:hAnsi="Georgia"/>
                <w:bCs/>
              </w:rPr>
            </w:pPr>
          </w:p>
        </w:tc>
        <w:tc>
          <w:tcPr>
            <w:tcW w:w="992" w:type="dxa"/>
          </w:tcPr>
          <w:p w14:paraId="6BB4FAD1" w14:textId="77777777" w:rsidR="008B0D85" w:rsidRPr="006B2E6F" w:rsidRDefault="008B0D85" w:rsidP="00235CE4">
            <w:pPr>
              <w:rPr>
                <w:rFonts w:ascii="Georgia" w:hAnsi="Georgia"/>
                <w:bCs/>
              </w:rPr>
            </w:pPr>
          </w:p>
        </w:tc>
        <w:tc>
          <w:tcPr>
            <w:tcW w:w="1620" w:type="dxa"/>
          </w:tcPr>
          <w:p w14:paraId="190724A8" w14:textId="77777777" w:rsidR="008B0D85" w:rsidRPr="006B2E6F" w:rsidRDefault="008B0D85" w:rsidP="00235CE4">
            <w:pPr>
              <w:rPr>
                <w:rFonts w:ascii="Georgia" w:hAnsi="Georgia"/>
                <w:bCs/>
              </w:rPr>
            </w:pPr>
          </w:p>
        </w:tc>
        <w:tc>
          <w:tcPr>
            <w:tcW w:w="1170" w:type="dxa"/>
          </w:tcPr>
          <w:p w14:paraId="4215F6E8" w14:textId="77777777" w:rsidR="008B0D85" w:rsidRPr="006B2E6F" w:rsidRDefault="008B0D85" w:rsidP="00235CE4">
            <w:pPr>
              <w:rPr>
                <w:rFonts w:ascii="Georgia" w:hAnsi="Georgia"/>
                <w:bCs/>
              </w:rPr>
            </w:pPr>
          </w:p>
        </w:tc>
        <w:tc>
          <w:tcPr>
            <w:tcW w:w="1440" w:type="dxa"/>
          </w:tcPr>
          <w:p w14:paraId="5FADECC2" w14:textId="77777777" w:rsidR="008B0D85" w:rsidRPr="006B2E6F" w:rsidRDefault="008B0D85" w:rsidP="00235CE4">
            <w:pPr>
              <w:rPr>
                <w:rFonts w:ascii="Georgia" w:hAnsi="Georgia"/>
                <w:bCs/>
              </w:rPr>
            </w:pPr>
          </w:p>
        </w:tc>
      </w:tr>
      <w:tr w:rsidR="008B0D85" w:rsidRPr="006B2E6F" w14:paraId="505725D1" w14:textId="77777777" w:rsidTr="00235CE4">
        <w:trPr>
          <w:jc w:val="right"/>
        </w:trPr>
        <w:tc>
          <w:tcPr>
            <w:tcW w:w="1008" w:type="dxa"/>
          </w:tcPr>
          <w:p w14:paraId="505098A1" w14:textId="77777777" w:rsidR="008B0D85" w:rsidRPr="006B2E6F" w:rsidRDefault="008B0D85" w:rsidP="00235CE4">
            <w:pPr>
              <w:rPr>
                <w:rFonts w:ascii="Georgia" w:hAnsi="Georgia"/>
                <w:bCs/>
              </w:rPr>
            </w:pPr>
            <w:r w:rsidRPr="006B2E6F">
              <w:rPr>
                <w:rFonts w:ascii="Georgia" w:hAnsi="Georgia"/>
                <w:bCs/>
              </w:rPr>
              <w:t>20</w:t>
            </w:r>
            <w:r>
              <w:rPr>
                <w:rFonts w:ascii="Georgia" w:hAnsi="Georgia"/>
                <w:bCs/>
              </w:rPr>
              <w:t>22</w:t>
            </w:r>
          </w:p>
        </w:tc>
        <w:tc>
          <w:tcPr>
            <w:tcW w:w="992" w:type="dxa"/>
          </w:tcPr>
          <w:p w14:paraId="3EFC26A4" w14:textId="77777777" w:rsidR="008B0D85" w:rsidRPr="006B2E6F" w:rsidRDefault="008B0D85" w:rsidP="00235CE4">
            <w:pPr>
              <w:rPr>
                <w:rFonts w:ascii="Georgia" w:hAnsi="Georgia"/>
                <w:bCs/>
              </w:rPr>
            </w:pPr>
          </w:p>
        </w:tc>
        <w:tc>
          <w:tcPr>
            <w:tcW w:w="1440" w:type="dxa"/>
          </w:tcPr>
          <w:p w14:paraId="6A63265C" w14:textId="77777777" w:rsidR="008B0D85" w:rsidRPr="006B2E6F" w:rsidRDefault="008B0D85" w:rsidP="00235CE4">
            <w:pPr>
              <w:rPr>
                <w:rFonts w:ascii="Georgia" w:hAnsi="Georgia"/>
                <w:bCs/>
              </w:rPr>
            </w:pPr>
          </w:p>
        </w:tc>
        <w:tc>
          <w:tcPr>
            <w:tcW w:w="992" w:type="dxa"/>
          </w:tcPr>
          <w:p w14:paraId="78C38DE1" w14:textId="77777777" w:rsidR="008B0D85" w:rsidRPr="006B2E6F" w:rsidRDefault="008B0D85" w:rsidP="00235CE4">
            <w:pPr>
              <w:rPr>
                <w:rFonts w:ascii="Georgia" w:hAnsi="Georgia"/>
                <w:bCs/>
              </w:rPr>
            </w:pPr>
          </w:p>
        </w:tc>
        <w:tc>
          <w:tcPr>
            <w:tcW w:w="1620" w:type="dxa"/>
          </w:tcPr>
          <w:p w14:paraId="0126F79D" w14:textId="77777777" w:rsidR="008B0D85" w:rsidRPr="006B2E6F" w:rsidRDefault="008B0D85" w:rsidP="00235CE4">
            <w:pPr>
              <w:rPr>
                <w:rFonts w:ascii="Georgia" w:hAnsi="Georgia"/>
                <w:bCs/>
              </w:rPr>
            </w:pPr>
          </w:p>
        </w:tc>
        <w:tc>
          <w:tcPr>
            <w:tcW w:w="1170" w:type="dxa"/>
          </w:tcPr>
          <w:p w14:paraId="4EF5F3B6" w14:textId="77777777" w:rsidR="008B0D85" w:rsidRPr="006B2E6F" w:rsidRDefault="008B0D85" w:rsidP="00235CE4">
            <w:pPr>
              <w:rPr>
                <w:rFonts w:ascii="Georgia" w:hAnsi="Georgia"/>
                <w:bCs/>
              </w:rPr>
            </w:pPr>
          </w:p>
        </w:tc>
        <w:tc>
          <w:tcPr>
            <w:tcW w:w="1440" w:type="dxa"/>
          </w:tcPr>
          <w:p w14:paraId="4C93775E" w14:textId="77777777" w:rsidR="008B0D85" w:rsidRPr="006B2E6F" w:rsidRDefault="008B0D85" w:rsidP="00235CE4">
            <w:pPr>
              <w:rPr>
                <w:rFonts w:ascii="Georgia" w:hAnsi="Georgia"/>
                <w:bCs/>
              </w:rPr>
            </w:pPr>
          </w:p>
        </w:tc>
      </w:tr>
      <w:tr w:rsidR="008B0D85" w:rsidRPr="006B2E6F" w14:paraId="050D557E" w14:textId="77777777" w:rsidTr="00235CE4">
        <w:trPr>
          <w:jc w:val="right"/>
        </w:trPr>
        <w:tc>
          <w:tcPr>
            <w:tcW w:w="1008" w:type="dxa"/>
          </w:tcPr>
          <w:p w14:paraId="3A52A682" w14:textId="77777777" w:rsidR="008B0D85" w:rsidRPr="006B2E6F" w:rsidRDefault="008B0D85" w:rsidP="00235CE4">
            <w:pPr>
              <w:rPr>
                <w:rFonts w:ascii="Georgia" w:hAnsi="Georgia"/>
                <w:bCs/>
              </w:rPr>
            </w:pPr>
            <w:r w:rsidRPr="006B2E6F">
              <w:rPr>
                <w:rFonts w:ascii="Georgia" w:hAnsi="Georgia"/>
                <w:bCs/>
              </w:rPr>
              <w:t>20</w:t>
            </w:r>
            <w:r>
              <w:rPr>
                <w:rFonts w:ascii="Georgia" w:hAnsi="Georgia"/>
                <w:bCs/>
              </w:rPr>
              <w:t>23</w:t>
            </w:r>
          </w:p>
        </w:tc>
        <w:tc>
          <w:tcPr>
            <w:tcW w:w="992" w:type="dxa"/>
          </w:tcPr>
          <w:p w14:paraId="0FCA8C11" w14:textId="77777777" w:rsidR="008B0D85" w:rsidRPr="006B2E6F" w:rsidRDefault="008B0D85" w:rsidP="00235CE4">
            <w:pPr>
              <w:rPr>
                <w:rFonts w:ascii="Georgia" w:hAnsi="Georgia"/>
                <w:bCs/>
              </w:rPr>
            </w:pPr>
          </w:p>
        </w:tc>
        <w:tc>
          <w:tcPr>
            <w:tcW w:w="1440" w:type="dxa"/>
          </w:tcPr>
          <w:p w14:paraId="686C1C8C" w14:textId="77777777" w:rsidR="008B0D85" w:rsidRPr="006B2E6F" w:rsidRDefault="008B0D85" w:rsidP="00235CE4">
            <w:pPr>
              <w:rPr>
                <w:rFonts w:ascii="Georgia" w:hAnsi="Georgia"/>
                <w:bCs/>
              </w:rPr>
            </w:pPr>
          </w:p>
        </w:tc>
        <w:tc>
          <w:tcPr>
            <w:tcW w:w="992" w:type="dxa"/>
          </w:tcPr>
          <w:p w14:paraId="169025CA" w14:textId="77777777" w:rsidR="008B0D85" w:rsidRPr="006B2E6F" w:rsidRDefault="008B0D85" w:rsidP="00235CE4">
            <w:pPr>
              <w:rPr>
                <w:rFonts w:ascii="Georgia" w:hAnsi="Georgia"/>
                <w:bCs/>
              </w:rPr>
            </w:pPr>
          </w:p>
        </w:tc>
        <w:tc>
          <w:tcPr>
            <w:tcW w:w="1620" w:type="dxa"/>
          </w:tcPr>
          <w:p w14:paraId="330684AF" w14:textId="77777777" w:rsidR="008B0D85" w:rsidRPr="006B2E6F" w:rsidRDefault="008B0D85" w:rsidP="00235CE4">
            <w:pPr>
              <w:rPr>
                <w:rFonts w:ascii="Georgia" w:hAnsi="Georgia"/>
                <w:bCs/>
              </w:rPr>
            </w:pPr>
          </w:p>
        </w:tc>
        <w:tc>
          <w:tcPr>
            <w:tcW w:w="1170" w:type="dxa"/>
          </w:tcPr>
          <w:p w14:paraId="1C1D004C" w14:textId="77777777" w:rsidR="008B0D85" w:rsidRPr="006B2E6F" w:rsidRDefault="008B0D85" w:rsidP="00235CE4">
            <w:pPr>
              <w:rPr>
                <w:rFonts w:ascii="Georgia" w:hAnsi="Georgia"/>
                <w:bCs/>
              </w:rPr>
            </w:pPr>
          </w:p>
        </w:tc>
        <w:tc>
          <w:tcPr>
            <w:tcW w:w="1440" w:type="dxa"/>
          </w:tcPr>
          <w:p w14:paraId="1FA12B78" w14:textId="77777777" w:rsidR="008B0D85" w:rsidRPr="006B2E6F" w:rsidRDefault="008B0D85" w:rsidP="00235CE4">
            <w:pPr>
              <w:rPr>
                <w:rFonts w:ascii="Georgia" w:hAnsi="Georgia"/>
                <w:bCs/>
              </w:rPr>
            </w:pPr>
          </w:p>
        </w:tc>
      </w:tr>
      <w:tr w:rsidR="008B0D85" w:rsidRPr="006B2E6F" w14:paraId="1376EBCF" w14:textId="77777777" w:rsidTr="00235CE4">
        <w:trPr>
          <w:jc w:val="right"/>
        </w:trPr>
        <w:tc>
          <w:tcPr>
            <w:tcW w:w="1008" w:type="dxa"/>
          </w:tcPr>
          <w:p w14:paraId="6B956D68" w14:textId="77777777" w:rsidR="008B0D85" w:rsidRPr="006B2E6F" w:rsidRDefault="008B0D85" w:rsidP="00235CE4">
            <w:pPr>
              <w:rPr>
                <w:rFonts w:ascii="Georgia" w:hAnsi="Georgia"/>
                <w:bCs/>
              </w:rPr>
            </w:pPr>
            <w:r w:rsidRPr="006B2E6F">
              <w:rPr>
                <w:rFonts w:ascii="Georgia" w:hAnsi="Georgia"/>
                <w:bCs/>
              </w:rPr>
              <w:t>TOTAL</w:t>
            </w:r>
          </w:p>
        </w:tc>
        <w:tc>
          <w:tcPr>
            <w:tcW w:w="992" w:type="dxa"/>
          </w:tcPr>
          <w:p w14:paraId="5E93162E" w14:textId="77777777" w:rsidR="008B0D85" w:rsidRPr="006B2E6F" w:rsidRDefault="008B0D85" w:rsidP="00235CE4">
            <w:pPr>
              <w:rPr>
                <w:rFonts w:ascii="Georgia" w:hAnsi="Georgia"/>
                <w:bCs/>
              </w:rPr>
            </w:pPr>
          </w:p>
        </w:tc>
        <w:tc>
          <w:tcPr>
            <w:tcW w:w="1440" w:type="dxa"/>
          </w:tcPr>
          <w:p w14:paraId="4BC6D606" w14:textId="77777777" w:rsidR="008B0D85" w:rsidRPr="006B2E6F" w:rsidRDefault="008B0D85" w:rsidP="00235CE4">
            <w:pPr>
              <w:rPr>
                <w:rFonts w:ascii="Georgia" w:hAnsi="Georgia"/>
                <w:bCs/>
              </w:rPr>
            </w:pPr>
          </w:p>
        </w:tc>
        <w:tc>
          <w:tcPr>
            <w:tcW w:w="992" w:type="dxa"/>
          </w:tcPr>
          <w:p w14:paraId="260D92ED" w14:textId="77777777" w:rsidR="008B0D85" w:rsidRPr="006B2E6F" w:rsidRDefault="008B0D85" w:rsidP="00235CE4">
            <w:pPr>
              <w:rPr>
                <w:rFonts w:ascii="Georgia" w:hAnsi="Georgia"/>
                <w:bCs/>
              </w:rPr>
            </w:pPr>
          </w:p>
        </w:tc>
        <w:tc>
          <w:tcPr>
            <w:tcW w:w="1620" w:type="dxa"/>
          </w:tcPr>
          <w:p w14:paraId="71CA5367" w14:textId="77777777" w:rsidR="008B0D85" w:rsidRPr="006B2E6F" w:rsidRDefault="008B0D85" w:rsidP="00235CE4">
            <w:pPr>
              <w:rPr>
                <w:rFonts w:ascii="Georgia" w:hAnsi="Georgia"/>
                <w:bCs/>
              </w:rPr>
            </w:pPr>
          </w:p>
        </w:tc>
        <w:tc>
          <w:tcPr>
            <w:tcW w:w="1170" w:type="dxa"/>
          </w:tcPr>
          <w:p w14:paraId="79EE974B" w14:textId="77777777" w:rsidR="008B0D85" w:rsidRPr="006B2E6F" w:rsidRDefault="008B0D85" w:rsidP="00235CE4">
            <w:pPr>
              <w:rPr>
                <w:rFonts w:ascii="Georgia" w:hAnsi="Georgia"/>
                <w:bCs/>
              </w:rPr>
            </w:pPr>
          </w:p>
        </w:tc>
        <w:tc>
          <w:tcPr>
            <w:tcW w:w="1440" w:type="dxa"/>
          </w:tcPr>
          <w:p w14:paraId="512F0245" w14:textId="77777777" w:rsidR="008B0D85" w:rsidRPr="006B2E6F" w:rsidRDefault="008B0D85" w:rsidP="00235CE4">
            <w:pPr>
              <w:rPr>
                <w:rFonts w:ascii="Georgia" w:hAnsi="Georgia"/>
                <w:bCs/>
              </w:rPr>
            </w:pPr>
          </w:p>
        </w:tc>
      </w:tr>
    </w:tbl>
    <w:p w14:paraId="4A03A44E" w14:textId="77777777" w:rsidR="008B0D85" w:rsidRPr="00155376" w:rsidRDefault="008B0D85" w:rsidP="000F0ABF">
      <w:pPr>
        <w:pStyle w:val="ListParagraph"/>
        <w:rPr>
          <w:rFonts w:ascii="Times New Roman" w:hAnsi="Times New Roman"/>
        </w:rPr>
      </w:pPr>
    </w:p>
    <w:p w14:paraId="619C36B8" w14:textId="0839990A" w:rsidR="00DD0E33" w:rsidRPr="00155376" w:rsidRDefault="000F0ABF" w:rsidP="004211DE">
      <w:pPr>
        <w:pStyle w:val="Heading3"/>
      </w:pPr>
      <w:r w:rsidRPr="00155376">
        <w:t xml:space="preserve">For </w:t>
      </w:r>
      <w:r w:rsidR="00DD0E33" w:rsidRPr="00DD0E33">
        <w:t>2019 through and inclusive of 2023, list the specific transactions in Nevada that each</w:t>
      </w:r>
      <w:r w:rsidR="00DF6330">
        <w:t xml:space="preserve"> of the</w:t>
      </w:r>
      <w:r w:rsidR="000058F6" w:rsidRPr="000058F6">
        <w:t xml:space="preserve"> </w:t>
      </w:r>
      <w:r w:rsidR="000058F6">
        <w:t xml:space="preserve">Key Personnel (personnel who will be assigned to this contract) </w:t>
      </w:r>
      <w:r w:rsidR="00DD0E33" w:rsidRPr="00DD0E33">
        <w:t xml:space="preserve">acted as </w:t>
      </w:r>
      <w:r w:rsidR="00DD0E33" w:rsidRPr="00F15AA3">
        <w:rPr>
          <w:u w:val="single"/>
        </w:rPr>
        <w:t xml:space="preserve">lead disclosure counsel </w:t>
      </w:r>
      <w:r w:rsidR="00DD0E33" w:rsidRPr="00DD0E33">
        <w:t xml:space="preserve">in Nevada.  </w:t>
      </w:r>
      <w:r w:rsidR="00DD0E33" w:rsidRPr="00F15AA3">
        <w:rPr>
          <w:i/>
          <w:iCs/>
        </w:rPr>
        <w:t>[NOTE:  Failure to provide information on specific issuances, which is public information, will likely result in a lower score for this area.]</w:t>
      </w:r>
    </w:p>
    <w:p w14:paraId="34EC3F12" w14:textId="77777777" w:rsidR="00AB5050" w:rsidRPr="00155376" w:rsidRDefault="00AB5050" w:rsidP="00AB5050">
      <w:pPr>
        <w:pStyle w:val="ListParagraph"/>
        <w:rPr>
          <w:rFonts w:ascii="Times New Roman" w:hAnsi="Times New Roman"/>
        </w:rPr>
      </w:pPr>
    </w:p>
    <w:p w14:paraId="429E8FD0" w14:textId="2EBCF78A" w:rsidR="00AB5050" w:rsidRDefault="008D581A" w:rsidP="004211DE">
      <w:pPr>
        <w:pStyle w:val="Heading3"/>
      </w:pPr>
      <w:r>
        <w:t xml:space="preserve">Using </w:t>
      </w:r>
      <w:r w:rsidR="004A16BC" w:rsidRPr="004A16BC">
        <w:t xml:space="preserve">the table format below, indicate the total par and number of long-term municipal bond transaction, including private placement transactions, for the calendar years 2019 through and inclusive of 2023 of which each of the </w:t>
      </w:r>
      <w:r w:rsidR="00DF6330">
        <w:t xml:space="preserve">Key Personnel (personnel who will be assigned to this contract) </w:t>
      </w:r>
      <w:r w:rsidR="004A16BC" w:rsidRPr="004A16BC">
        <w:t xml:space="preserve">acted as </w:t>
      </w:r>
      <w:r w:rsidR="004A16BC" w:rsidRPr="001C23D7">
        <w:rPr>
          <w:i/>
          <w:iCs/>
        </w:rPr>
        <w:t>lead bond counsel</w:t>
      </w:r>
      <w:r w:rsidR="004A16BC" w:rsidRPr="004A16BC">
        <w:t xml:space="preserve"> for non-Nevada transactions.  </w:t>
      </w:r>
    </w:p>
    <w:p w14:paraId="0F9AFDAE" w14:textId="77777777" w:rsidR="008D581A" w:rsidRDefault="008D581A" w:rsidP="004211DE">
      <w:pPr>
        <w:pStyle w:val="Heading3"/>
        <w:numPr>
          <w:ilvl w:val="0"/>
          <w:numId w:val="0"/>
        </w:numPr>
      </w:pPr>
    </w:p>
    <w:tbl>
      <w:tblPr>
        <w:tblStyle w:val="TableGrid1"/>
        <w:tblW w:w="0" w:type="auto"/>
        <w:jc w:val="right"/>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1008"/>
        <w:gridCol w:w="992"/>
        <w:gridCol w:w="1440"/>
        <w:gridCol w:w="992"/>
        <w:gridCol w:w="1620"/>
        <w:gridCol w:w="1170"/>
        <w:gridCol w:w="1440"/>
      </w:tblGrid>
      <w:tr w:rsidR="00FF12ED" w:rsidRPr="006B2E6F" w14:paraId="4711CB54" w14:textId="77777777" w:rsidTr="00235CE4">
        <w:trPr>
          <w:jc w:val="right"/>
        </w:trPr>
        <w:tc>
          <w:tcPr>
            <w:tcW w:w="8662" w:type="dxa"/>
            <w:gridSpan w:val="7"/>
            <w:shd w:val="solid" w:color="1F497D" w:themeColor="text2" w:fill="auto"/>
            <w:vAlign w:val="bottom"/>
          </w:tcPr>
          <w:p w14:paraId="1A298CF8" w14:textId="77777777" w:rsidR="00FF12ED" w:rsidRPr="006B2E6F" w:rsidRDefault="00FF12ED" w:rsidP="00235CE4">
            <w:pPr>
              <w:jc w:val="center"/>
              <w:rPr>
                <w:rFonts w:ascii="Georgia" w:hAnsi="Georgia"/>
                <w:b/>
                <w:bCs/>
                <w:i/>
                <w:color w:val="FFFFFF" w:themeColor="background1"/>
              </w:rPr>
            </w:pPr>
            <w:r>
              <w:rPr>
                <w:rFonts w:ascii="Georgia" w:hAnsi="Georgia"/>
                <w:b/>
                <w:bCs/>
                <w:i/>
                <w:color w:val="FFFFFF" w:themeColor="background1"/>
              </w:rPr>
              <w:t>Lead Bond</w:t>
            </w:r>
            <w:r w:rsidRPr="006B2E6F">
              <w:rPr>
                <w:rFonts w:ascii="Georgia" w:hAnsi="Georgia"/>
                <w:b/>
                <w:bCs/>
                <w:i/>
                <w:color w:val="FFFFFF" w:themeColor="background1"/>
              </w:rPr>
              <w:t xml:space="preserve"> Counsel</w:t>
            </w:r>
            <w:r>
              <w:rPr>
                <w:rFonts w:ascii="Georgia" w:hAnsi="Georgia"/>
                <w:b/>
                <w:bCs/>
                <w:i/>
                <w:color w:val="FFFFFF" w:themeColor="background1"/>
              </w:rPr>
              <w:t>’s</w:t>
            </w:r>
            <w:r w:rsidRPr="006B2E6F">
              <w:rPr>
                <w:rFonts w:ascii="Georgia" w:hAnsi="Georgia"/>
                <w:b/>
                <w:bCs/>
                <w:i/>
                <w:color w:val="FFFFFF" w:themeColor="background1"/>
              </w:rPr>
              <w:t xml:space="preserve"> Experience </w:t>
            </w:r>
            <w:r>
              <w:rPr>
                <w:rFonts w:ascii="Georgia" w:hAnsi="Georgia"/>
                <w:b/>
                <w:bCs/>
                <w:i/>
                <w:color w:val="FFFFFF" w:themeColor="background1"/>
              </w:rPr>
              <w:t>Non-</w:t>
            </w:r>
            <w:r w:rsidRPr="006B2E6F">
              <w:rPr>
                <w:rFonts w:ascii="Georgia" w:hAnsi="Georgia"/>
                <w:b/>
                <w:bCs/>
                <w:i/>
                <w:color w:val="FFFFFF" w:themeColor="background1"/>
              </w:rPr>
              <w:t>Nevada</w:t>
            </w:r>
          </w:p>
        </w:tc>
      </w:tr>
      <w:tr w:rsidR="00FF12ED" w:rsidRPr="006B2E6F" w14:paraId="66F3E9FE" w14:textId="77777777" w:rsidTr="00235CE4">
        <w:trPr>
          <w:jc w:val="right"/>
        </w:trPr>
        <w:tc>
          <w:tcPr>
            <w:tcW w:w="1008" w:type="dxa"/>
          </w:tcPr>
          <w:p w14:paraId="10B22910" w14:textId="77777777" w:rsidR="00FF12ED" w:rsidRPr="006B2E6F" w:rsidRDefault="00FF12ED" w:rsidP="00235CE4">
            <w:pPr>
              <w:rPr>
                <w:rFonts w:ascii="Georgia" w:hAnsi="Georgia"/>
                <w:b/>
                <w:bCs/>
              </w:rPr>
            </w:pPr>
          </w:p>
        </w:tc>
        <w:tc>
          <w:tcPr>
            <w:tcW w:w="2432" w:type="dxa"/>
            <w:gridSpan w:val="2"/>
          </w:tcPr>
          <w:p w14:paraId="1DDE1299" w14:textId="77777777" w:rsidR="00FF12ED" w:rsidRPr="006B2E6F" w:rsidRDefault="00FF12ED" w:rsidP="00235CE4">
            <w:pPr>
              <w:jc w:val="center"/>
              <w:rPr>
                <w:rFonts w:ascii="Georgia" w:hAnsi="Georgia"/>
                <w:b/>
                <w:bCs/>
              </w:rPr>
            </w:pPr>
            <w:r w:rsidRPr="006B2E6F">
              <w:rPr>
                <w:rFonts w:ascii="Georgia" w:hAnsi="Georgia"/>
                <w:b/>
                <w:bCs/>
              </w:rPr>
              <w:t>Lead Attorney</w:t>
            </w:r>
          </w:p>
        </w:tc>
        <w:tc>
          <w:tcPr>
            <w:tcW w:w="2612" w:type="dxa"/>
            <w:gridSpan w:val="2"/>
          </w:tcPr>
          <w:p w14:paraId="6B7C2B81" w14:textId="77777777" w:rsidR="00FF12ED" w:rsidRPr="006B2E6F" w:rsidRDefault="00FF12ED" w:rsidP="00235CE4">
            <w:pPr>
              <w:jc w:val="center"/>
              <w:rPr>
                <w:rFonts w:ascii="Georgia" w:hAnsi="Georgia"/>
                <w:b/>
                <w:bCs/>
              </w:rPr>
            </w:pPr>
            <w:r w:rsidRPr="006B2E6F">
              <w:rPr>
                <w:rFonts w:ascii="Georgia" w:hAnsi="Georgia"/>
                <w:b/>
                <w:bCs/>
              </w:rPr>
              <w:t>Backup Attorney #1</w:t>
            </w:r>
          </w:p>
        </w:tc>
        <w:tc>
          <w:tcPr>
            <w:tcW w:w="2610" w:type="dxa"/>
            <w:gridSpan w:val="2"/>
          </w:tcPr>
          <w:p w14:paraId="159DEF59" w14:textId="77777777" w:rsidR="00FF12ED" w:rsidRPr="006B2E6F" w:rsidRDefault="00FF12ED" w:rsidP="00235CE4">
            <w:pPr>
              <w:jc w:val="center"/>
              <w:rPr>
                <w:rFonts w:ascii="Georgia" w:hAnsi="Georgia"/>
                <w:b/>
                <w:bCs/>
              </w:rPr>
            </w:pPr>
            <w:r w:rsidRPr="006B2E6F">
              <w:rPr>
                <w:rFonts w:ascii="Georgia" w:hAnsi="Georgia"/>
                <w:b/>
                <w:bCs/>
              </w:rPr>
              <w:t>Backup Attorney #2</w:t>
            </w:r>
          </w:p>
        </w:tc>
      </w:tr>
      <w:tr w:rsidR="00FF12ED" w:rsidRPr="006B2E6F" w14:paraId="148DA16D" w14:textId="77777777" w:rsidTr="00235CE4">
        <w:trPr>
          <w:jc w:val="right"/>
        </w:trPr>
        <w:tc>
          <w:tcPr>
            <w:tcW w:w="1008" w:type="dxa"/>
          </w:tcPr>
          <w:p w14:paraId="3664AC1C" w14:textId="77777777" w:rsidR="00FF12ED" w:rsidRPr="006B2E6F" w:rsidRDefault="00FF12ED" w:rsidP="00235CE4">
            <w:pPr>
              <w:rPr>
                <w:rFonts w:ascii="Georgia" w:hAnsi="Georgia"/>
                <w:bCs/>
              </w:rPr>
            </w:pPr>
            <w:r w:rsidRPr="006B2E6F">
              <w:rPr>
                <w:rFonts w:ascii="Georgia" w:hAnsi="Georgia"/>
                <w:b/>
                <w:bCs/>
              </w:rPr>
              <w:t>Year</w:t>
            </w:r>
          </w:p>
        </w:tc>
        <w:tc>
          <w:tcPr>
            <w:tcW w:w="992" w:type="dxa"/>
          </w:tcPr>
          <w:p w14:paraId="4F2B8B28" w14:textId="77777777" w:rsidR="00FF12ED" w:rsidRPr="006B2E6F" w:rsidRDefault="00FF12ED" w:rsidP="00235CE4">
            <w:pPr>
              <w:jc w:val="center"/>
              <w:rPr>
                <w:rFonts w:ascii="Georgia" w:hAnsi="Georgia"/>
                <w:b/>
                <w:bCs/>
              </w:rPr>
            </w:pPr>
            <w:r w:rsidRPr="006B2E6F">
              <w:rPr>
                <w:rFonts w:ascii="Georgia" w:hAnsi="Georgia"/>
                <w:b/>
                <w:bCs/>
              </w:rPr>
              <w:t># of Issues</w:t>
            </w:r>
          </w:p>
        </w:tc>
        <w:tc>
          <w:tcPr>
            <w:tcW w:w="1440" w:type="dxa"/>
          </w:tcPr>
          <w:p w14:paraId="54866754" w14:textId="77777777" w:rsidR="00FF12ED" w:rsidRPr="006B2E6F" w:rsidRDefault="00FF12ED"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c>
          <w:tcPr>
            <w:tcW w:w="992" w:type="dxa"/>
          </w:tcPr>
          <w:p w14:paraId="4336EDA3" w14:textId="77777777" w:rsidR="00FF12ED" w:rsidRPr="006B2E6F" w:rsidRDefault="00FF12ED" w:rsidP="00235CE4">
            <w:pPr>
              <w:jc w:val="center"/>
              <w:rPr>
                <w:rFonts w:ascii="Georgia" w:hAnsi="Georgia"/>
                <w:bCs/>
              </w:rPr>
            </w:pPr>
            <w:r w:rsidRPr="006B2E6F">
              <w:rPr>
                <w:rFonts w:ascii="Georgia" w:hAnsi="Georgia"/>
                <w:b/>
                <w:bCs/>
              </w:rPr>
              <w:t># of Issues</w:t>
            </w:r>
          </w:p>
        </w:tc>
        <w:tc>
          <w:tcPr>
            <w:tcW w:w="1620" w:type="dxa"/>
          </w:tcPr>
          <w:p w14:paraId="2D47642D" w14:textId="77777777" w:rsidR="00FF12ED" w:rsidRDefault="00FF12ED" w:rsidP="00235CE4">
            <w:pPr>
              <w:jc w:val="center"/>
              <w:rPr>
                <w:rFonts w:ascii="Georgia" w:hAnsi="Georgia"/>
                <w:b/>
                <w:bCs/>
              </w:rPr>
            </w:pPr>
            <w:r>
              <w:rPr>
                <w:rFonts w:ascii="Georgia" w:hAnsi="Georgia"/>
                <w:b/>
                <w:bCs/>
              </w:rPr>
              <w:t xml:space="preserve">Total </w:t>
            </w:r>
            <w:r w:rsidRPr="006B2E6F">
              <w:rPr>
                <w:rFonts w:ascii="Georgia" w:hAnsi="Georgia"/>
                <w:b/>
                <w:bCs/>
              </w:rPr>
              <w:t>Par</w:t>
            </w:r>
          </w:p>
          <w:p w14:paraId="26DAE3A6" w14:textId="77777777" w:rsidR="00FF12ED" w:rsidRPr="006B2E6F" w:rsidRDefault="00FF12ED" w:rsidP="00235CE4">
            <w:pPr>
              <w:jc w:val="center"/>
              <w:rPr>
                <w:rFonts w:ascii="Georgia" w:hAnsi="Georgia"/>
                <w:bCs/>
              </w:rPr>
            </w:pPr>
            <w:r>
              <w:rPr>
                <w:rFonts w:ascii="Georgia" w:hAnsi="Georgia"/>
                <w:b/>
                <w:bCs/>
              </w:rPr>
              <w:t>Amount</w:t>
            </w:r>
          </w:p>
        </w:tc>
        <w:tc>
          <w:tcPr>
            <w:tcW w:w="1170" w:type="dxa"/>
          </w:tcPr>
          <w:p w14:paraId="365C0DDA" w14:textId="77777777" w:rsidR="00FF12ED" w:rsidRPr="006B2E6F" w:rsidRDefault="00FF12ED" w:rsidP="00235CE4">
            <w:pPr>
              <w:jc w:val="center"/>
              <w:rPr>
                <w:rFonts w:ascii="Georgia" w:hAnsi="Georgia"/>
                <w:b/>
                <w:bCs/>
              </w:rPr>
            </w:pPr>
            <w:r w:rsidRPr="006B2E6F">
              <w:rPr>
                <w:rFonts w:ascii="Georgia" w:hAnsi="Georgia"/>
                <w:b/>
                <w:bCs/>
              </w:rPr>
              <w:t># of Issues</w:t>
            </w:r>
          </w:p>
        </w:tc>
        <w:tc>
          <w:tcPr>
            <w:tcW w:w="1440" w:type="dxa"/>
          </w:tcPr>
          <w:p w14:paraId="048C4708" w14:textId="77777777" w:rsidR="00FF12ED" w:rsidRPr="006B2E6F" w:rsidRDefault="00FF12ED"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r>
      <w:tr w:rsidR="00FF12ED" w:rsidRPr="006B2E6F" w14:paraId="2177DA6B" w14:textId="77777777" w:rsidTr="00235CE4">
        <w:trPr>
          <w:jc w:val="right"/>
        </w:trPr>
        <w:tc>
          <w:tcPr>
            <w:tcW w:w="1008" w:type="dxa"/>
          </w:tcPr>
          <w:p w14:paraId="187689D3" w14:textId="77777777" w:rsidR="00FF12ED" w:rsidRPr="006B2E6F" w:rsidRDefault="00FF12ED" w:rsidP="00235CE4">
            <w:pPr>
              <w:rPr>
                <w:rFonts w:ascii="Georgia" w:hAnsi="Georgia"/>
                <w:bCs/>
              </w:rPr>
            </w:pPr>
            <w:r w:rsidRPr="006B2E6F">
              <w:rPr>
                <w:rFonts w:ascii="Georgia" w:hAnsi="Georgia"/>
                <w:bCs/>
              </w:rPr>
              <w:t>20</w:t>
            </w:r>
            <w:r>
              <w:rPr>
                <w:rFonts w:ascii="Georgia" w:hAnsi="Georgia"/>
                <w:bCs/>
              </w:rPr>
              <w:t>19</w:t>
            </w:r>
          </w:p>
        </w:tc>
        <w:tc>
          <w:tcPr>
            <w:tcW w:w="992" w:type="dxa"/>
          </w:tcPr>
          <w:p w14:paraId="1692121C" w14:textId="77777777" w:rsidR="00FF12ED" w:rsidRPr="006B2E6F" w:rsidRDefault="00FF12ED" w:rsidP="00235CE4">
            <w:pPr>
              <w:rPr>
                <w:rFonts w:ascii="Georgia" w:hAnsi="Georgia"/>
                <w:bCs/>
              </w:rPr>
            </w:pPr>
          </w:p>
        </w:tc>
        <w:tc>
          <w:tcPr>
            <w:tcW w:w="1440" w:type="dxa"/>
          </w:tcPr>
          <w:p w14:paraId="7CCD8752" w14:textId="77777777" w:rsidR="00FF12ED" w:rsidRPr="006B2E6F" w:rsidRDefault="00FF12ED" w:rsidP="00235CE4">
            <w:pPr>
              <w:rPr>
                <w:rFonts w:ascii="Georgia" w:hAnsi="Georgia"/>
                <w:bCs/>
              </w:rPr>
            </w:pPr>
          </w:p>
        </w:tc>
        <w:tc>
          <w:tcPr>
            <w:tcW w:w="992" w:type="dxa"/>
          </w:tcPr>
          <w:p w14:paraId="73CD5C1B" w14:textId="77777777" w:rsidR="00FF12ED" w:rsidRPr="006B2E6F" w:rsidRDefault="00FF12ED" w:rsidP="00235CE4">
            <w:pPr>
              <w:rPr>
                <w:rFonts w:ascii="Georgia" w:hAnsi="Georgia"/>
                <w:bCs/>
              </w:rPr>
            </w:pPr>
          </w:p>
        </w:tc>
        <w:tc>
          <w:tcPr>
            <w:tcW w:w="1620" w:type="dxa"/>
          </w:tcPr>
          <w:p w14:paraId="285379D0" w14:textId="77777777" w:rsidR="00FF12ED" w:rsidRPr="006B2E6F" w:rsidRDefault="00FF12ED" w:rsidP="00235CE4">
            <w:pPr>
              <w:rPr>
                <w:rFonts w:ascii="Georgia" w:hAnsi="Georgia"/>
                <w:bCs/>
              </w:rPr>
            </w:pPr>
          </w:p>
        </w:tc>
        <w:tc>
          <w:tcPr>
            <w:tcW w:w="1170" w:type="dxa"/>
          </w:tcPr>
          <w:p w14:paraId="2574D9BC" w14:textId="77777777" w:rsidR="00FF12ED" w:rsidRPr="006B2E6F" w:rsidRDefault="00FF12ED" w:rsidP="00235CE4">
            <w:pPr>
              <w:rPr>
                <w:rFonts w:ascii="Georgia" w:hAnsi="Georgia"/>
                <w:bCs/>
              </w:rPr>
            </w:pPr>
          </w:p>
        </w:tc>
        <w:tc>
          <w:tcPr>
            <w:tcW w:w="1440" w:type="dxa"/>
          </w:tcPr>
          <w:p w14:paraId="0ED1CB7B" w14:textId="77777777" w:rsidR="00FF12ED" w:rsidRPr="006B2E6F" w:rsidRDefault="00FF12ED" w:rsidP="00235CE4">
            <w:pPr>
              <w:rPr>
                <w:rFonts w:ascii="Georgia" w:hAnsi="Georgia"/>
                <w:bCs/>
              </w:rPr>
            </w:pPr>
          </w:p>
        </w:tc>
      </w:tr>
      <w:tr w:rsidR="00FF12ED" w:rsidRPr="006B2E6F" w14:paraId="3F94E780" w14:textId="77777777" w:rsidTr="00235CE4">
        <w:trPr>
          <w:jc w:val="right"/>
        </w:trPr>
        <w:tc>
          <w:tcPr>
            <w:tcW w:w="1008" w:type="dxa"/>
          </w:tcPr>
          <w:p w14:paraId="0E02FF36" w14:textId="77777777" w:rsidR="00FF12ED" w:rsidRPr="006B2E6F" w:rsidRDefault="00FF12ED" w:rsidP="00235CE4">
            <w:pPr>
              <w:rPr>
                <w:rFonts w:ascii="Georgia" w:hAnsi="Georgia"/>
                <w:bCs/>
              </w:rPr>
            </w:pPr>
            <w:r w:rsidRPr="006B2E6F">
              <w:rPr>
                <w:rFonts w:ascii="Georgia" w:hAnsi="Georgia"/>
                <w:bCs/>
              </w:rPr>
              <w:t>20</w:t>
            </w:r>
            <w:r>
              <w:rPr>
                <w:rFonts w:ascii="Georgia" w:hAnsi="Georgia"/>
                <w:bCs/>
              </w:rPr>
              <w:t>20</w:t>
            </w:r>
          </w:p>
        </w:tc>
        <w:tc>
          <w:tcPr>
            <w:tcW w:w="992" w:type="dxa"/>
          </w:tcPr>
          <w:p w14:paraId="240560E8" w14:textId="77777777" w:rsidR="00FF12ED" w:rsidRPr="006B2E6F" w:rsidRDefault="00FF12ED" w:rsidP="00235CE4">
            <w:pPr>
              <w:rPr>
                <w:rFonts w:ascii="Georgia" w:hAnsi="Georgia"/>
                <w:bCs/>
              </w:rPr>
            </w:pPr>
          </w:p>
        </w:tc>
        <w:tc>
          <w:tcPr>
            <w:tcW w:w="1440" w:type="dxa"/>
          </w:tcPr>
          <w:p w14:paraId="7D637726" w14:textId="77777777" w:rsidR="00FF12ED" w:rsidRPr="006B2E6F" w:rsidRDefault="00FF12ED" w:rsidP="00235CE4">
            <w:pPr>
              <w:rPr>
                <w:rFonts w:ascii="Georgia" w:hAnsi="Georgia"/>
                <w:bCs/>
              </w:rPr>
            </w:pPr>
          </w:p>
        </w:tc>
        <w:tc>
          <w:tcPr>
            <w:tcW w:w="992" w:type="dxa"/>
          </w:tcPr>
          <w:p w14:paraId="6BDEE8F5" w14:textId="77777777" w:rsidR="00FF12ED" w:rsidRPr="006B2E6F" w:rsidRDefault="00FF12ED" w:rsidP="00235CE4">
            <w:pPr>
              <w:rPr>
                <w:rFonts w:ascii="Georgia" w:hAnsi="Georgia"/>
                <w:bCs/>
              </w:rPr>
            </w:pPr>
          </w:p>
        </w:tc>
        <w:tc>
          <w:tcPr>
            <w:tcW w:w="1620" w:type="dxa"/>
          </w:tcPr>
          <w:p w14:paraId="619BFE75" w14:textId="77777777" w:rsidR="00FF12ED" w:rsidRPr="006B2E6F" w:rsidRDefault="00FF12ED" w:rsidP="00235CE4">
            <w:pPr>
              <w:rPr>
                <w:rFonts w:ascii="Georgia" w:hAnsi="Georgia"/>
                <w:bCs/>
              </w:rPr>
            </w:pPr>
          </w:p>
        </w:tc>
        <w:tc>
          <w:tcPr>
            <w:tcW w:w="1170" w:type="dxa"/>
          </w:tcPr>
          <w:p w14:paraId="387DA74B" w14:textId="77777777" w:rsidR="00FF12ED" w:rsidRPr="006B2E6F" w:rsidRDefault="00FF12ED" w:rsidP="00235CE4">
            <w:pPr>
              <w:rPr>
                <w:rFonts w:ascii="Georgia" w:hAnsi="Georgia"/>
                <w:bCs/>
              </w:rPr>
            </w:pPr>
          </w:p>
        </w:tc>
        <w:tc>
          <w:tcPr>
            <w:tcW w:w="1440" w:type="dxa"/>
          </w:tcPr>
          <w:p w14:paraId="4787CB73" w14:textId="77777777" w:rsidR="00FF12ED" w:rsidRPr="006B2E6F" w:rsidRDefault="00FF12ED" w:rsidP="00235CE4">
            <w:pPr>
              <w:rPr>
                <w:rFonts w:ascii="Georgia" w:hAnsi="Georgia"/>
                <w:bCs/>
              </w:rPr>
            </w:pPr>
          </w:p>
        </w:tc>
      </w:tr>
      <w:tr w:rsidR="00FF12ED" w:rsidRPr="006B2E6F" w14:paraId="066CE0B8" w14:textId="77777777" w:rsidTr="00235CE4">
        <w:trPr>
          <w:jc w:val="right"/>
        </w:trPr>
        <w:tc>
          <w:tcPr>
            <w:tcW w:w="1008" w:type="dxa"/>
          </w:tcPr>
          <w:p w14:paraId="4E81E27B" w14:textId="77777777" w:rsidR="00FF12ED" w:rsidRPr="006B2E6F" w:rsidRDefault="00FF12ED" w:rsidP="00235CE4">
            <w:pPr>
              <w:rPr>
                <w:rFonts w:ascii="Georgia" w:hAnsi="Georgia"/>
                <w:bCs/>
              </w:rPr>
            </w:pPr>
            <w:r w:rsidRPr="006B2E6F">
              <w:rPr>
                <w:rFonts w:ascii="Georgia" w:hAnsi="Georgia"/>
                <w:bCs/>
              </w:rPr>
              <w:t>20</w:t>
            </w:r>
            <w:r>
              <w:rPr>
                <w:rFonts w:ascii="Georgia" w:hAnsi="Georgia"/>
                <w:bCs/>
              </w:rPr>
              <w:t>21</w:t>
            </w:r>
          </w:p>
        </w:tc>
        <w:tc>
          <w:tcPr>
            <w:tcW w:w="992" w:type="dxa"/>
          </w:tcPr>
          <w:p w14:paraId="67DA5F60" w14:textId="77777777" w:rsidR="00FF12ED" w:rsidRPr="006B2E6F" w:rsidRDefault="00FF12ED" w:rsidP="00235CE4">
            <w:pPr>
              <w:rPr>
                <w:rFonts w:ascii="Georgia" w:hAnsi="Georgia"/>
                <w:bCs/>
              </w:rPr>
            </w:pPr>
          </w:p>
        </w:tc>
        <w:tc>
          <w:tcPr>
            <w:tcW w:w="1440" w:type="dxa"/>
          </w:tcPr>
          <w:p w14:paraId="3F89C5C9" w14:textId="77777777" w:rsidR="00FF12ED" w:rsidRPr="006B2E6F" w:rsidRDefault="00FF12ED" w:rsidP="00235CE4">
            <w:pPr>
              <w:rPr>
                <w:rFonts w:ascii="Georgia" w:hAnsi="Georgia"/>
                <w:bCs/>
              </w:rPr>
            </w:pPr>
          </w:p>
        </w:tc>
        <w:tc>
          <w:tcPr>
            <w:tcW w:w="992" w:type="dxa"/>
          </w:tcPr>
          <w:p w14:paraId="237576AE" w14:textId="77777777" w:rsidR="00FF12ED" w:rsidRPr="006B2E6F" w:rsidRDefault="00FF12ED" w:rsidP="00235CE4">
            <w:pPr>
              <w:rPr>
                <w:rFonts w:ascii="Georgia" w:hAnsi="Georgia"/>
                <w:bCs/>
              </w:rPr>
            </w:pPr>
          </w:p>
        </w:tc>
        <w:tc>
          <w:tcPr>
            <w:tcW w:w="1620" w:type="dxa"/>
          </w:tcPr>
          <w:p w14:paraId="6C56AFB3" w14:textId="77777777" w:rsidR="00FF12ED" w:rsidRPr="006B2E6F" w:rsidRDefault="00FF12ED" w:rsidP="00235CE4">
            <w:pPr>
              <w:rPr>
                <w:rFonts w:ascii="Georgia" w:hAnsi="Georgia"/>
                <w:bCs/>
              </w:rPr>
            </w:pPr>
          </w:p>
        </w:tc>
        <w:tc>
          <w:tcPr>
            <w:tcW w:w="1170" w:type="dxa"/>
          </w:tcPr>
          <w:p w14:paraId="549F5299" w14:textId="77777777" w:rsidR="00FF12ED" w:rsidRPr="006B2E6F" w:rsidRDefault="00FF12ED" w:rsidP="00235CE4">
            <w:pPr>
              <w:rPr>
                <w:rFonts w:ascii="Georgia" w:hAnsi="Georgia"/>
                <w:bCs/>
              </w:rPr>
            </w:pPr>
          </w:p>
        </w:tc>
        <w:tc>
          <w:tcPr>
            <w:tcW w:w="1440" w:type="dxa"/>
          </w:tcPr>
          <w:p w14:paraId="7F30990F" w14:textId="77777777" w:rsidR="00FF12ED" w:rsidRPr="006B2E6F" w:rsidRDefault="00FF12ED" w:rsidP="00235CE4">
            <w:pPr>
              <w:rPr>
                <w:rFonts w:ascii="Georgia" w:hAnsi="Georgia"/>
                <w:bCs/>
              </w:rPr>
            </w:pPr>
          </w:p>
        </w:tc>
      </w:tr>
      <w:tr w:rsidR="00FF12ED" w:rsidRPr="006B2E6F" w14:paraId="3EA115D5" w14:textId="77777777" w:rsidTr="00235CE4">
        <w:trPr>
          <w:jc w:val="right"/>
        </w:trPr>
        <w:tc>
          <w:tcPr>
            <w:tcW w:w="1008" w:type="dxa"/>
          </w:tcPr>
          <w:p w14:paraId="19F5A785" w14:textId="77777777" w:rsidR="00FF12ED" w:rsidRPr="006B2E6F" w:rsidRDefault="00FF12ED" w:rsidP="00235CE4">
            <w:pPr>
              <w:rPr>
                <w:rFonts w:ascii="Georgia" w:hAnsi="Georgia"/>
                <w:bCs/>
              </w:rPr>
            </w:pPr>
            <w:r w:rsidRPr="006B2E6F">
              <w:rPr>
                <w:rFonts w:ascii="Georgia" w:hAnsi="Georgia"/>
                <w:bCs/>
              </w:rPr>
              <w:t>20</w:t>
            </w:r>
            <w:r>
              <w:rPr>
                <w:rFonts w:ascii="Georgia" w:hAnsi="Georgia"/>
                <w:bCs/>
              </w:rPr>
              <w:t>22</w:t>
            </w:r>
          </w:p>
        </w:tc>
        <w:tc>
          <w:tcPr>
            <w:tcW w:w="992" w:type="dxa"/>
          </w:tcPr>
          <w:p w14:paraId="00286765" w14:textId="77777777" w:rsidR="00FF12ED" w:rsidRPr="006B2E6F" w:rsidRDefault="00FF12ED" w:rsidP="00235CE4">
            <w:pPr>
              <w:rPr>
                <w:rFonts w:ascii="Georgia" w:hAnsi="Georgia"/>
                <w:bCs/>
              </w:rPr>
            </w:pPr>
          </w:p>
        </w:tc>
        <w:tc>
          <w:tcPr>
            <w:tcW w:w="1440" w:type="dxa"/>
          </w:tcPr>
          <w:p w14:paraId="29134B82" w14:textId="77777777" w:rsidR="00FF12ED" w:rsidRPr="006B2E6F" w:rsidRDefault="00FF12ED" w:rsidP="00235CE4">
            <w:pPr>
              <w:rPr>
                <w:rFonts w:ascii="Georgia" w:hAnsi="Georgia"/>
                <w:bCs/>
              </w:rPr>
            </w:pPr>
          </w:p>
        </w:tc>
        <w:tc>
          <w:tcPr>
            <w:tcW w:w="992" w:type="dxa"/>
          </w:tcPr>
          <w:p w14:paraId="64448E72" w14:textId="77777777" w:rsidR="00FF12ED" w:rsidRPr="006B2E6F" w:rsidRDefault="00FF12ED" w:rsidP="00235CE4">
            <w:pPr>
              <w:rPr>
                <w:rFonts w:ascii="Georgia" w:hAnsi="Georgia"/>
                <w:bCs/>
              </w:rPr>
            </w:pPr>
          </w:p>
        </w:tc>
        <w:tc>
          <w:tcPr>
            <w:tcW w:w="1620" w:type="dxa"/>
          </w:tcPr>
          <w:p w14:paraId="351999EF" w14:textId="77777777" w:rsidR="00FF12ED" w:rsidRPr="006B2E6F" w:rsidRDefault="00FF12ED" w:rsidP="00235CE4">
            <w:pPr>
              <w:rPr>
                <w:rFonts w:ascii="Georgia" w:hAnsi="Georgia"/>
                <w:bCs/>
              </w:rPr>
            </w:pPr>
          </w:p>
        </w:tc>
        <w:tc>
          <w:tcPr>
            <w:tcW w:w="1170" w:type="dxa"/>
          </w:tcPr>
          <w:p w14:paraId="32333C98" w14:textId="77777777" w:rsidR="00FF12ED" w:rsidRPr="006B2E6F" w:rsidRDefault="00FF12ED" w:rsidP="00235CE4">
            <w:pPr>
              <w:rPr>
                <w:rFonts w:ascii="Georgia" w:hAnsi="Georgia"/>
                <w:bCs/>
              </w:rPr>
            </w:pPr>
          </w:p>
        </w:tc>
        <w:tc>
          <w:tcPr>
            <w:tcW w:w="1440" w:type="dxa"/>
          </w:tcPr>
          <w:p w14:paraId="72A853BB" w14:textId="77777777" w:rsidR="00FF12ED" w:rsidRPr="006B2E6F" w:rsidRDefault="00FF12ED" w:rsidP="00235CE4">
            <w:pPr>
              <w:rPr>
                <w:rFonts w:ascii="Georgia" w:hAnsi="Georgia"/>
                <w:bCs/>
              </w:rPr>
            </w:pPr>
          </w:p>
        </w:tc>
      </w:tr>
      <w:tr w:rsidR="00FF12ED" w:rsidRPr="006B2E6F" w14:paraId="24CD8450" w14:textId="77777777" w:rsidTr="00235CE4">
        <w:trPr>
          <w:jc w:val="right"/>
        </w:trPr>
        <w:tc>
          <w:tcPr>
            <w:tcW w:w="1008" w:type="dxa"/>
          </w:tcPr>
          <w:p w14:paraId="44CF719B" w14:textId="77777777" w:rsidR="00FF12ED" w:rsidRPr="006B2E6F" w:rsidRDefault="00FF12ED" w:rsidP="00235CE4">
            <w:pPr>
              <w:rPr>
                <w:rFonts w:ascii="Georgia" w:hAnsi="Georgia"/>
                <w:bCs/>
              </w:rPr>
            </w:pPr>
            <w:r w:rsidRPr="006B2E6F">
              <w:rPr>
                <w:rFonts w:ascii="Georgia" w:hAnsi="Georgia"/>
                <w:bCs/>
              </w:rPr>
              <w:t>20</w:t>
            </w:r>
            <w:r>
              <w:rPr>
                <w:rFonts w:ascii="Georgia" w:hAnsi="Georgia"/>
                <w:bCs/>
              </w:rPr>
              <w:t>23</w:t>
            </w:r>
          </w:p>
        </w:tc>
        <w:tc>
          <w:tcPr>
            <w:tcW w:w="992" w:type="dxa"/>
          </w:tcPr>
          <w:p w14:paraId="6546305B" w14:textId="77777777" w:rsidR="00FF12ED" w:rsidRPr="006B2E6F" w:rsidRDefault="00FF12ED" w:rsidP="00235CE4">
            <w:pPr>
              <w:rPr>
                <w:rFonts w:ascii="Georgia" w:hAnsi="Georgia"/>
                <w:bCs/>
              </w:rPr>
            </w:pPr>
          </w:p>
        </w:tc>
        <w:tc>
          <w:tcPr>
            <w:tcW w:w="1440" w:type="dxa"/>
          </w:tcPr>
          <w:p w14:paraId="50BA0639" w14:textId="77777777" w:rsidR="00FF12ED" w:rsidRPr="006B2E6F" w:rsidRDefault="00FF12ED" w:rsidP="00235CE4">
            <w:pPr>
              <w:rPr>
                <w:rFonts w:ascii="Georgia" w:hAnsi="Georgia"/>
                <w:bCs/>
              </w:rPr>
            </w:pPr>
          </w:p>
        </w:tc>
        <w:tc>
          <w:tcPr>
            <w:tcW w:w="992" w:type="dxa"/>
          </w:tcPr>
          <w:p w14:paraId="0B8D9985" w14:textId="77777777" w:rsidR="00FF12ED" w:rsidRPr="006B2E6F" w:rsidRDefault="00FF12ED" w:rsidP="00235CE4">
            <w:pPr>
              <w:rPr>
                <w:rFonts w:ascii="Georgia" w:hAnsi="Georgia"/>
                <w:bCs/>
              </w:rPr>
            </w:pPr>
          </w:p>
        </w:tc>
        <w:tc>
          <w:tcPr>
            <w:tcW w:w="1620" w:type="dxa"/>
          </w:tcPr>
          <w:p w14:paraId="52472A81" w14:textId="77777777" w:rsidR="00FF12ED" w:rsidRPr="006B2E6F" w:rsidRDefault="00FF12ED" w:rsidP="00235CE4">
            <w:pPr>
              <w:rPr>
                <w:rFonts w:ascii="Georgia" w:hAnsi="Georgia"/>
                <w:bCs/>
              </w:rPr>
            </w:pPr>
          </w:p>
        </w:tc>
        <w:tc>
          <w:tcPr>
            <w:tcW w:w="1170" w:type="dxa"/>
          </w:tcPr>
          <w:p w14:paraId="0F3670A1" w14:textId="77777777" w:rsidR="00FF12ED" w:rsidRPr="006B2E6F" w:rsidRDefault="00FF12ED" w:rsidP="00235CE4">
            <w:pPr>
              <w:rPr>
                <w:rFonts w:ascii="Georgia" w:hAnsi="Georgia"/>
                <w:bCs/>
              </w:rPr>
            </w:pPr>
          </w:p>
        </w:tc>
        <w:tc>
          <w:tcPr>
            <w:tcW w:w="1440" w:type="dxa"/>
          </w:tcPr>
          <w:p w14:paraId="368B9B31" w14:textId="77777777" w:rsidR="00FF12ED" w:rsidRPr="006B2E6F" w:rsidRDefault="00FF12ED" w:rsidP="00235CE4">
            <w:pPr>
              <w:rPr>
                <w:rFonts w:ascii="Georgia" w:hAnsi="Georgia"/>
                <w:bCs/>
              </w:rPr>
            </w:pPr>
          </w:p>
        </w:tc>
      </w:tr>
      <w:tr w:rsidR="00FF12ED" w:rsidRPr="006B2E6F" w14:paraId="4E042DE0" w14:textId="77777777" w:rsidTr="00235CE4">
        <w:trPr>
          <w:jc w:val="right"/>
        </w:trPr>
        <w:tc>
          <w:tcPr>
            <w:tcW w:w="1008" w:type="dxa"/>
          </w:tcPr>
          <w:p w14:paraId="7B59BEE9" w14:textId="77777777" w:rsidR="00FF12ED" w:rsidRPr="006B2E6F" w:rsidRDefault="00FF12ED" w:rsidP="00235CE4">
            <w:pPr>
              <w:rPr>
                <w:rFonts w:ascii="Georgia" w:hAnsi="Georgia"/>
                <w:bCs/>
              </w:rPr>
            </w:pPr>
            <w:r w:rsidRPr="006B2E6F">
              <w:rPr>
                <w:rFonts w:ascii="Georgia" w:hAnsi="Georgia"/>
                <w:bCs/>
              </w:rPr>
              <w:t>TOTAL</w:t>
            </w:r>
          </w:p>
        </w:tc>
        <w:tc>
          <w:tcPr>
            <w:tcW w:w="992" w:type="dxa"/>
          </w:tcPr>
          <w:p w14:paraId="3CFDE648" w14:textId="77777777" w:rsidR="00FF12ED" w:rsidRPr="006B2E6F" w:rsidRDefault="00FF12ED" w:rsidP="00235CE4">
            <w:pPr>
              <w:rPr>
                <w:rFonts w:ascii="Georgia" w:hAnsi="Georgia"/>
                <w:bCs/>
              </w:rPr>
            </w:pPr>
          </w:p>
        </w:tc>
        <w:tc>
          <w:tcPr>
            <w:tcW w:w="1440" w:type="dxa"/>
          </w:tcPr>
          <w:p w14:paraId="737838E3" w14:textId="77777777" w:rsidR="00FF12ED" w:rsidRPr="006B2E6F" w:rsidRDefault="00FF12ED" w:rsidP="00235CE4">
            <w:pPr>
              <w:rPr>
                <w:rFonts w:ascii="Georgia" w:hAnsi="Georgia"/>
                <w:bCs/>
              </w:rPr>
            </w:pPr>
          </w:p>
        </w:tc>
        <w:tc>
          <w:tcPr>
            <w:tcW w:w="992" w:type="dxa"/>
          </w:tcPr>
          <w:p w14:paraId="662B4969" w14:textId="77777777" w:rsidR="00FF12ED" w:rsidRPr="006B2E6F" w:rsidRDefault="00FF12ED" w:rsidP="00235CE4">
            <w:pPr>
              <w:rPr>
                <w:rFonts w:ascii="Georgia" w:hAnsi="Georgia"/>
                <w:bCs/>
              </w:rPr>
            </w:pPr>
          </w:p>
        </w:tc>
        <w:tc>
          <w:tcPr>
            <w:tcW w:w="1620" w:type="dxa"/>
          </w:tcPr>
          <w:p w14:paraId="25AC1F2E" w14:textId="77777777" w:rsidR="00FF12ED" w:rsidRPr="006B2E6F" w:rsidRDefault="00FF12ED" w:rsidP="00235CE4">
            <w:pPr>
              <w:rPr>
                <w:rFonts w:ascii="Georgia" w:hAnsi="Georgia"/>
                <w:bCs/>
              </w:rPr>
            </w:pPr>
          </w:p>
        </w:tc>
        <w:tc>
          <w:tcPr>
            <w:tcW w:w="1170" w:type="dxa"/>
          </w:tcPr>
          <w:p w14:paraId="5734FFFA" w14:textId="77777777" w:rsidR="00FF12ED" w:rsidRPr="006B2E6F" w:rsidRDefault="00FF12ED" w:rsidP="00235CE4">
            <w:pPr>
              <w:rPr>
                <w:rFonts w:ascii="Georgia" w:hAnsi="Georgia"/>
                <w:bCs/>
              </w:rPr>
            </w:pPr>
          </w:p>
        </w:tc>
        <w:tc>
          <w:tcPr>
            <w:tcW w:w="1440" w:type="dxa"/>
          </w:tcPr>
          <w:p w14:paraId="274CF29D" w14:textId="77777777" w:rsidR="00FF12ED" w:rsidRPr="006B2E6F" w:rsidRDefault="00FF12ED" w:rsidP="00235CE4">
            <w:pPr>
              <w:rPr>
                <w:rFonts w:ascii="Georgia" w:hAnsi="Georgia"/>
                <w:bCs/>
              </w:rPr>
            </w:pPr>
          </w:p>
        </w:tc>
      </w:tr>
    </w:tbl>
    <w:p w14:paraId="42E9B09F" w14:textId="77777777" w:rsidR="00FF12ED" w:rsidRPr="00155376" w:rsidRDefault="00FF12ED" w:rsidP="004211DE">
      <w:pPr>
        <w:pStyle w:val="Heading3"/>
        <w:numPr>
          <w:ilvl w:val="0"/>
          <w:numId w:val="0"/>
        </w:numPr>
      </w:pPr>
    </w:p>
    <w:p w14:paraId="46E358DA" w14:textId="08648584" w:rsidR="003D0D8E" w:rsidRPr="00FB709E" w:rsidRDefault="00FB709E" w:rsidP="004211DE">
      <w:pPr>
        <w:pStyle w:val="Heading3"/>
      </w:pPr>
      <w:r w:rsidRPr="00FB709E">
        <w:t xml:space="preserve">For </w:t>
      </w:r>
      <w:r w:rsidR="00622934" w:rsidRPr="00FB709E">
        <w:t>2019 through and inclusive of 2023, list the specific non-Nevada transactions that each</w:t>
      </w:r>
      <w:r w:rsidR="009D1963">
        <w:t xml:space="preserve"> of the</w:t>
      </w:r>
      <w:r w:rsidR="00622934" w:rsidRPr="00FB709E">
        <w:t xml:space="preserve"> </w:t>
      </w:r>
      <w:r w:rsidR="009D1963">
        <w:t xml:space="preserve">Key Personnel (personnel who will be assigned to this contract) </w:t>
      </w:r>
      <w:r w:rsidR="00622934" w:rsidRPr="00FB709E">
        <w:t xml:space="preserve">acted as </w:t>
      </w:r>
      <w:r w:rsidR="00622934" w:rsidRPr="00FB709E">
        <w:rPr>
          <w:u w:val="single"/>
        </w:rPr>
        <w:t>lead bond counsel</w:t>
      </w:r>
      <w:r w:rsidR="00622934" w:rsidRPr="00FB709E">
        <w:t xml:space="preserve">.  </w:t>
      </w:r>
      <w:r w:rsidR="00622934" w:rsidRPr="00FB709E">
        <w:rPr>
          <w:i/>
          <w:iCs/>
        </w:rPr>
        <w:t>[NOTE:  Failure to provide information on specific issuances, which is public information, will likely result in a lower score for this area.]</w:t>
      </w:r>
    </w:p>
    <w:p w14:paraId="025E061A" w14:textId="77777777" w:rsidR="00622934" w:rsidRDefault="00622934" w:rsidP="003D0D8E">
      <w:pPr>
        <w:pStyle w:val="ListParagraph"/>
        <w:rPr>
          <w:rFonts w:ascii="Times New Roman" w:eastAsiaTheme="minorHAnsi" w:hAnsi="Times New Roman"/>
          <w:bCs/>
        </w:rPr>
      </w:pPr>
    </w:p>
    <w:p w14:paraId="1BC1A1B7" w14:textId="77777777" w:rsidR="009D1963" w:rsidRDefault="009D1963" w:rsidP="003D0D8E">
      <w:pPr>
        <w:pStyle w:val="ListParagraph"/>
        <w:rPr>
          <w:rFonts w:ascii="Times New Roman" w:eastAsiaTheme="minorHAnsi" w:hAnsi="Times New Roman"/>
          <w:bCs/>
        </w:rPr>
      </w:pPr>
    </w:p>
    <w:p w14:paraId="4CF82105" w14:textId="77777777" w:rsidR="009D1963" w:rsidRDefault="009D1963" w:rsidP="003D0D8E">
      <w:pPr>
        <w:pStyle w:val="ListParagraph"/>
        <w:rPr>
          <w:rFonts w:ascii="Times New Roman" w:eastAsiaTheme="minorHAnsi" w:hAnsi="Times New Roman"/>
          <w:bCs/>
        </w:rPr>
      </w:pPr>
    </w:p>
    <w:p w14:paraId="300D12F3" w14:textId="77777777" w:rsidR="009D1963" w:rsidRDefault="009D1963" w:rsidP="003D0D8E">
      <w:pPr>
        <w:pStyle w:val="ListParagraph"/>
        <w:rPr>
          <w:rFonts w:ascii="Times New Roman" w:eastAsiaTheme="minorHAnsi" w:hAnsi="Times New Roman"/>
          <w:bCs/>
        </w:rPr>
      </w:pPr>
    </w:p>
    <w:p w14:paraId="17888A02" w14:textId="77777777" w:rsidR="009D1963" w:rsidRDefault="009D1963" w:rsidP="003D0D8E">
      <w:pPr>
        <w:pStyle w:val="ListParagraph"/>
        <w:rPr>
          <w:rFonts w:ascii="Times New Roman" w:eastAsiaTheme="minorHAnsi" w:hAnsi="Times New Roman"/>
          <w:bCs/>
        </w:rPr>
      </w:pPr>
    </w:p>
    <w:p w14:paraId="1D50E622" w14:textId="77777777" w:rsidR="009D1963" w:rsidRDefault="009D1963" w:rsidP="003D0D8E">
      <w:pPr>
        <w:pStyle w:val="ListParagraph"/>
        <w:rPr>
          <w:rFonts w:ascii="Times New Roman" w:eastAsiaTheme="minorHAnsi" w:hAnsi="Times New Roman"/>
          <w:bCs/>
        </w:rPr>
      </w:pPr>
    </w:p>
    <w:p w14:paraId="6E0F2090" w14:textId="77777777" w:rsidR="009D1963" w:rsidRDefault="009D1963" w:rsidP="003D0D8E">
      <w:pPr>
        <w:pStyle w:val="ListParagraph"/>
        <w:rPr>
          <w:rFonts w:ascii="Times New Roman" w:eastAsiaTheme="minorHAnsi" w:hAnsi="Times New Roman"/>
          <w:bCs/>
        </w:rPr>
      </w:pPr>
    </w:p>
    <w:p w14:paraId="0BB88E42" w14:textId="77777777" w:rsidR="009D1963" w:rsidRDefault="009D1963" w:rsidP="003D0D8E">
      <w:pPr>
        <w:pStyle w:val="ListParagraph"/>
        <w:rPr>
          <w:rFonts w:ascii="Times New Roman" w:eastAsiaTheme="minorHAnsi" w:hAnsi="Times New Roman"/>
          <w:bCs/>
        </w:rPr>
      </w:pPr>
    </w:p>
    <w:p w14:paraId="3304B21E" w14:textId="77777777" w:rsidR="009D1963" w:rsidRDefault="009D1963" w:rsidP="003D0D8E">
      <w:pPr>
        <w:pStyle w:val="ListParagraph"/>
        <w:rPr>
          <w:rFonts w:ascii="Times New Roman" w:eastAsiaTheme="minorHAnsi" w:hAnsi="Times New Roman"/>
          <w:bCs/>
        </w:rPr>
      </w:pPr>
    </w:p>
    <w:p w14:paraId="5421E68D" w14:textId="77777777" w:rsidR="009D1963" w:rsidRDefault="009D1963" w:rsidP="003D0D8E">
      <w:pPr>
        <w:pStyle w:val="ListParagraph"/>
        <w:rPr>
          <w:rFonts w:ascii="Times New Roman" w:eastAsiaTheme="minorHAnsi" w:hAnsi="Times New Roman"/>
          <w:bCs/>
        </w:rPr>
      </w:pPr>
    </w:p>
    <w:p w14:paraId="335C823B" w14:textId="77777777" w:rsidR="009D1963" w:rsidRPr="00622934" w:rsidRDefault="009D1963" w:rsidP="003D0D8E">
      <w:pPr>
        <w:pStyle w:val="ListParagraph"/>
        <w:rPr>
          <w:rFonts w:ascii="Times New Roman" w:eastAsiaTheme="minorHAnsi" w:hAnsi="Times New Roman"/>
          <w:bCs/>
        </w:rPr>
      </w:pPr>
    </w:p>
    <w:p w14:paraId="22A2800B" w14:textId="5362C5F0" w:rsidR="001F5B4F" w:rsidRPr="00597080" w:rsidRDefault="00597080" w:rsidP="004211DE">
      <w:pPr>
        <w:pStyle w:val="Heading3"/>
      </w:pPr>
      <w:r w:rsidRPr="00597080">
        <w:lastRenderedPageBreak/>
        <w:t xml:space="preserve">Using the table format below, indicate the total par and number of long-term municipal bond transaction, including private placement transactions, for the calendar years 2019 through and inclusive of 2023 of which each of the </w:t>
      </w:r>
      <w:r w:rsidR="009D1963">
        <w:t xml:space="preserve">Key Personnel (personnel who will be assigned to this contract) </w:t>
      </w:r>
      <w:r w:rsidRPr="00597080">
        <w:t xml:space="preserve">acted as </w:t>
      </w:r>
      <w:r w:rsidRPr="00DB6FC0">
        <w:rPr>
          <w:u w:val="single"/>
        </w:rPr>
        <w:t xml:space="preserve">lead disclosure counsel </w:t>
      </w:r>
      <w:r w:rsidRPr="00597080">
        <w:t xml:space="preserve">for non-Nevada transactions.  </w:t>
      </w:r>
    </w:p>
    <w:p w14:paraId="7682785B" w14:textId="77777777" w:rsidR="00597080" w:rsidRDefault="00597080" w:rsidP="001F5B4F">
      <w:pPr>
        <w:pStyle w:val="ListParagraph"/>
        <w:rPr>
          <w:rFonts w:ascii="Times New Roman" w:hAnsi="Times New Roman"/>
        </w:rPr>
      </w:pPr>
    </w:p>
    <w:tbl>
      <w:tblPr>
        <w:tblStyle w:val="TableGrid1"/>
        <w:tblW w:w="0" w:type="auto"/>
        <w:jc w:val="right"/>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1008"/>
        <w:gridCol w:w="992"/>
        <w:gridCol w:w="1440"/>
        <w:gridCol w:w="992"/>
        <w:gridCol w:w="1620"/>
        <w:gridCol w:w="1170"/>
        <w:gridCol w:w="1440"/>
      </w:tblGrid>
      <w:tr w:rsidR="00DB6FC0" w:rsidRPr="006B2E6F" w14:paraId="35F0FEB6" w14:textId="77777777" w:rsidTr="00235CE4">
        <w:trPr>
          <w:jc w:val="right"/>
        </w:trPr>
        <w:tc>
          <w:tcPr>
            <w:tcW w:w="8662" w:type="dxa"/>
            <w:gridSpan w:val="7"/>
            <w:shd w:val="solid" w:color="1F497D" w:themeColor="text2" w:fill="auto"/>
            <w:vAlign w:val="bottom"/>
          </w:tcPr>
          <w:p w14:paraId="6B0B921B" w14:textId="77777777" w:rsidR="00DB6FC0" w:rsidRPr="006B2E6F" w:rsidRDefault="00DB6FC0" w:rsidP="00235CE4">
            <w:pPr>
              <w:jc w:val="center"/>
              <w:rPr>
                <w:rFonts w:ascii="Georgia" w:hAnsi="Georgia"/>
                <w:b/>
                <w:bCs/>
                <w:i/>
                <w:color w:val="FFFFFF" w:themeColor="background1"/>
              </w:rPr>
            </w:pPr>
            <w:r>
              <w:rPr>
                <w:rFonts w:ascii="Georgia" w:hAnsi="Georgia"/>
                <w:b/>
                <w:bCs/>
                <w:i/>
                <w:color w:val="FFFFFF" w:themeColor="background1"/>
              </w:rPr>
              <w:t>Lead D</w:t>
            </w:r>
            <w:r w:rsidRPr="006B2E6F">
              <w:rPr>
                <w:rFonts w:ascii="Georgia" w:hAnsi="Georgia"/>
                <w:b/>
                <w:bCs/>
                <w:i/>
                <w:color w:val="FFFFFF" w:themeColor="background1"/>
              </w:rPr>
              <w:t>isclosure Counsel</w:t>
            </w:r>
            <w:r>
              <w:rPr>
                <w:rFonts w:ascii="Georgia" w:hAnsi="Georgia"/>
                <w:b/>
                <w:bCs/>
                <w:i/>
                <w:color w:val="FFFFFF" w:themeColor="background1"/>
              </w:rPr>
              <w:t>’s</w:t>
            </w:r>
            <w:r w:rsidRPr="006B2E6F">
              <w:rPr>
                <w:rFonts w:ascii="Georgia" w:hAnsi="Georgia"/>
                <w:b/>
                <w:bCs/>
                <w:i/>
                <w:color w:val="FFFFFF" w:themeColor="background1"/>
              </w:rPr>
              <w:t xml:space="preserve"> Experience </w:t>
            </w:r>
            <w:r>
              <w:rPr>
                <w:rFonts w:ascii="Georgia" w:hAnsi="Georgia"/>
                <w:b/>
                <w:bCs/>
                <w:i/>
                <w:color w:val="FFFFFF" w:themeColor="background1"/>
              </w:rPr>
              <w:t>Non-</w:t>
            </w:r>
            <w:r w:rsidRPr="006B2E6F">
              <w:rPr>
                <w:rFonts w:ascii="Georgia" w:hAnsi="Georgia"/>
                <w:b/>
                <w:bCs/>
                <w:i/>
                <w:color w:val="FFFFFF" w:themeColor="background1"/>
              </w:rPr>
              <w:t xml:space="preserve"> Nevada</w:t>
            </w:r>
          </w:p>
        </w:tc>
      </w:tr>
      <w:tr w:rsidR="00DB6FC0" w:rsidRPr="006B2E6F" w14:paraId="7B1315A8" w14:textId="77777777" w:rsidTr="00235CE4">
        <w:trPr>
          <w:jc w:val="right"/>
        </w:trPr>
        <w:tc>
          <w:tcPr>
            <w:tcW w:w="1008" w:type="dxa"/>
          </w:tcPr>
          <w:p w14:paraId="79684AFB" w14:textId="77777777" w:rsidR="00DB6FC0" w:rsidRPr="006B2E6F" w:rsidRDefault="00DB6FC0" w:rsidP="00235CE4">
            <w:pPr>
              <w:rPr>
                <w:rFonts w:ascii="Georgia" w:hAnsi="Georgia"/>
                <w:b/>
                <w:bCs/>
              </w:rPr>
            </w:pPr>
          </w:p>
        </w:tc>
        <w:tc>
          <w:tcPr>
            <w:tcW w:w="2432" w:type="dxa"/>
            <w:gridSpan w:val="2"/>
          </w:tcPr>
          <w:p w14:paraId="3111683C" w14:textId="77777777" w:rsidR="00DB6FC0" w:rsidRPr="006B2E6F" w:rsidRDefault="00DB6FC0" w:rsidP="00235CE4">
            <w:pPr>
              <w:jc w:val="center"/>
              <w:rPr>
                <w:rFonts w:ascii="Georgia" w:hAnsi="Georgia"/>
                <w:b/>
                <w:bCs/>
              </w:rPr>
            </w:pPr>
            <w:r w:rsidRPr="006B2E6F">
              <w:rPr>
                <w:rFonts w:ascii="Georgia" w:hAnsi="Georgia"/>
                <w:b/>
                <w:bCs/>
              </w:rPr>
              <w:t>Lead Attorney</w:t>
            </w:r>
          </w:p>
        </w:tc>
        <w:tc>
          <w:tcPr>
            <w:tcW w:w="2612" w:type="dxa"/>
            <w:gridSpan w:val="2"/>
          </w:tcPr>
          <w:p w14:paraId="03D892C1" w14:textId="77777777" w:rsidR="00DB6FC0" w:rsidRPr="006B2E6F" w:rsidRDefault="00DB6FC0" w:rsidP="00235CE4">
            <w:pPr>
              <w:jc w:val="center"/>
              <w:rPr>
                <w:rFonts w:ascii="Georgia" w:hAnsi="Georgia"/>
                <w:b/>
                <w:bCs/>
              </w:rPr>
            </w:pPr>
            <w:r w:rsidRPr="006B2E6F">
              <w:rPr>
                <w:rFonts w:ascii="Georgia" w:hAnsi="Georgia"/>
                <w:b/>
                <w:bCs/>
              </w:rPr>
              <w:t>Backup Attorney #1</w:t>
            </w:r>
          </w:p>
        </w:tc>
        <w:tc>
          <w:tcPr>
            <w:tcW w:w="2610" w:type="dxa"/>
            <w:gridSpan w:val="2"/>
          </w:tcPr>
          <w:p w14:paraId="26829822" w14:textId="77777777" w:rsidR="00DB6FC0" w:rsidRPr="006B2E6F" w:rsidRDefault="00DB6FC0" w:rsidP="00235CE4">
            <w:pPr>
              <w:jc w:val="center"/>
              <w:rPr>
                <w:rFonts w:ascii="Georgia" w:hAnsi="Georgia"/>
                <w:b/>
                <w:bCs/>
              </w:rPr>
            </w:pPr>
            <w:r w:rsidRPr="006B2E6F">
              <w:rPr>
                <w:rFonts w:ascii="Georgia" w:hAnsi="Georgia"/>
                <w:b/>
                <w:bCs/>
              </w:rPr>
              <w:t>Backup Attorney #2</w:t>
            </w:r>
          </w:p>
        </w:tc>
      </w:tr>
      <w:tr w:rsidR="00DB6FC0" w:rsidRPr="006B2E6F" w14:paraId="074CC7B8" w14:textId="77777777" w:rsidTr="00235CE4">
        <w:trPr>
          <w:jc w:val="right"/>
        </w:trPr>
        <w:tc>
          <w:tcPr>
            <w:tcW w:w="1008" w:type="dxa"/>
          </w:tcPr>
          <w:p w14:paraId="2632CEE9" w14:textId="77777777" w:rsidR="00DB6FC0" w:rsidRPr="006B2E6F" w:rsidRDefault="00DB6FC0" w:rsidP="00235CE4">
            <w:pPr>
              <w:rPr>
                <w:rFonts w:ascii="Georgia" w:hAnsi="Georgia"/>
                <w:bCs/>
              </w:rPr>
            </w:pPr>
            <w:r w:rsidRPr="006B2E6F">
              <w:rPr>
                <w:rFonts w:ascii="Georgia" w:hAnsi="Georgia"/>
                <w:b/>
                <w:bCs/>
              </w:rPr>
              <w:t>Year</w:t>
            </w:r>
          </w:p>
        </w:tc>
        <w:tc>
          <w:tcPr>
            <w:tcW w:w="992" w:type="dxa"/>
          </w:tcPr>
          <w:p w14:paraId="0638844F" w14:textId="77777777" w:rsidR="00DB6FC0" w:rsidRPr="006B2E6F" w:rsidRDefault="00DB6FC0" w:rsidP="00235CE4">
            <w:pPr>
              <w:jc w:val="center"/>
              <w:rPr>
                <w:rFonts w:ascii="Georgia" w:hAnsi="Georgia"/>
                <w:b/>
                <w:bCs/>
              </w:rPr>
            </w:pPr>
            <w:r w:rsidRPr="006B2E6F">
              <w:rPr>
                <w:rFonts w:ascii="Georgia" w:hAnsi="Georgia"/>
                <w:b/>
                <w:bCs/>
              </w:rPr>
              <w:t># of Issues</w:t>
            </w:r>
          </w:p>
        </w:tc>
        <w:tc>
          <w:tcPr>
            <w:tcW w:w="1440" w:type="dxa"/>
          </w:tcPr>
          <w:p w14:paraId="41387F00" w14:textId="77777777" w:rsidR="00DB6FC0" w:rsidRPr="006B2E6F" w:rsidRDefault="00DB6FC0"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c>
          <w:tcPr>
            <w:tcW w:w="992" w:type="dxa"/>
          </w:tcPr>
          <w:p w14:paraId="2F6CF499" w14:textId="77777777" w:rsidR="00DB6FC0" w:rsidRPr="006B2E6F" w:rsidRDefault="00DB6FC0" w:rsidP="00235CE4">
            <w:pPr>
              <w:jc w:val="center"/>
              <w:rPr>
                <w:rFonts w:ascii="Georgia" w:hAnsi="Georgia"/>
                <w:bCs/>
              </w:rPr>
            </w:pPr>
            <w:r w:rsidRPr="006B2E6F">
              <w:rPr>
                <w:rFonts w:ascii="Georgia" w:hAnsi="Georgia"/>
                <w:b/>
                <w:bCs/>
              </w:rPr>
              <w:t># of Issues</w:t>
            </w:r>
          </w:p>
        </w:tc>
        <w:tc>
          <w:tcPr>
            <w:tcW w:w="1620" w:type="dxa"/>
          </w:tcPr>
          <w:p w14:paraId="01F06402" w14:textId="77777777" w:rsidR="00DB6FC0" w:rsidRPr="006B2E6F" w:rsidRDefault="00DB6FC0" w:rsidP="00235CE4">
            <w:pPr>
              <w:jc w:val="center"/>
              <w:rPr>
                <w:rFonts w:ascii="Georgia" w:hAnsi="Georgia"/>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c>
          <w:tcPr>
            <w:tcW w:w="1170" w:type="dxa"/>
          </w:tcPr>
          <w:p w14:paraId="7E394CB5" w14:textId="77777777" w:rsidR="00DB6FC0" w:rsidRPr="006B2E6F" w:rsidRDefault="00DB6FC0" w:rsidP="00235CE4">
            <w:pPr>
              <w:jc w:val="center"/>
              <w:rPr>
                <w:rFonts w:ascii="Georgia" w:hAnsi="Georgia"/>
                <w:b/>
                <w:bCs/>
              </w:rPr>
            </w:pPr>
            <w:r w:rsidRPr="006B2E6F">
              <w:rPr>
                <w:rFonts w:ascii="Georgia" w:hAnsi="Georgia"/>
                <w:b/>
                <w:bCs/>
              </w:rPr>
              <w:t># of Issues</w:t>
            </w:r>
          </w:p>
        </w:tc>
        <w:tc>
          <w:tcPr>
            <w:tcW w:w="1440" w:type="dxa"/>
          </w:tcPr>
          <w:p w14:paraId="7740AD7F" w14:textId="77777777" w:rsidR="00DB6FC0" w:rsidRPr="006B2E6F" w:rsidRDefault="00DB6FC0" w:rsidP="00235CE4">
            <w:pPr>
              <w:jc w:val="center"/>
              <w:rPr>
                <w:rFonts w:ascii="Georgia" w:hAnsi="Georgia"/>
                <w:b/>
                <w:bCs/>
              </w:rPr>
            </w:pPr>
            <w:r>
              <w:rPr>
                <w:rFonts w:ascii="Georgia" w:hAnsi="Georgia"/>
                <w:b/>
                <w:bCs/>
              </w:rPr>
              <w:t xml:space="preserve">Total </w:t>
            </w:r>
            <w:r w:rsidRPr="006B2E6F">
              <w:rPr>
                <w:rFonts w:ascii="Georgia" w:hAnsi="Georgia"/>
                <w:b/>
                <w:bCs/>
              </w:rPr>
              <w:t>Par</w:t>
            </w:r>
            <w:r>
              <w:rPr>
                <w:rFonts w:ascii="Georgia" w:hAnsi="Georgia"/>
                <w:b/>
                <w:bCs/>
              </w:rPr>
              <w:t xml:space="preserve"> Amount</w:t>
            </w:r>
          </w:p>
        </w:tc>
      </w:tr>
      <w:tr w:rsidR="00DB6FC0" w:rsidRPr="006B2E6F" w14:paraId="02B99235" w14:textId="77777777" w:rsidTr="00235CE4">
        <w:trPr>
          <w:jc w:val="right"/>
        </w:trPr>
        <w:tc>
          <w:tcPr>
            <w:tcW w:w="1008" w:type="dxa"/>
          </w:tcPr>
          <w:p w14:paraId="27968495" w14:textId="77777777" w:rsidR="00DB6FC0" w:rsidRPr="006B2E6F" w:rsidRDefault="00DB6FC0" w:rsidP="00235CE4">
            <w:pPr>
              <w:rPr>
                <w:rFonts w:ascii="Georgia" w:hAnsi="Georgia"/>
                <w:bCs/>
              </w:rPr>
            </w:pPr>
            <w:r w:rsidRPr="006B2E6F">
              <w:rPr>
                <w:rFonts w:ascii="Georgia" w:hAnsi="Georgia"/>
                <w:bCs/>
              </w:rPr>
              <w:t>20</w:t>
            </w:r>
            <w:r>
              <w:rPr>
                <w:rFonts w:ascii="Georgia" w:hAnsi="Georgia"/>
                <w:bCs/>
              </w:rPr>
              <w:t>19</w:t>
            </w:r>
          </w:p>
        </w:tc>
        <w:tc>
          <w:tcPr>
            <w:tcW w:w="992" w:type="dxa"/>
          </w:tcPr>
          <w:p w14:paraId="54691E72" w14:textId="77777777" w:rsidR="00DB6FC0" w:rsidRPr="006B2E6F" w:rsidRDefault="00DB6FC0" w:rsidP="00235CE4">
            <w:pPr>
              <w:rPr>
                <w:rFonts w:ascii="Georgia" w:hAnsi="Georgia"/>
                <w:bCs/>
              </w:rPr>
            </w:pPr>
          </w:p>
        </w:tc>
        <w:tc>
          <w:tcPr>
            <w:tcW w:w="1440" w:type="dxa"/>
          </w:tcPr>
          <w:p w14:paraId="5FC1DED8" w14:textId="77777777" w:rsidR="00DB6FC0" w:rsidRPr="006B2E6F" w:rsidRDefault="00DB6FC0" w:rsidP="00235CE4">
            <w:pPr>
              <w:rPr>
                <w:rFonts w:ascii="Georgia" w:hAnsi="Georgia"/>
                <w:bCs/>
              </w:rPr>
            </w:pPr>
          </w:p>
        </w:tc>
        <w:tc>
          <w:tcPr>
            <w:tcW w:w="992" w:type="dxa"/>
          </w:tcPr>
          <w:p w14:paraId="2B8EDFBC" w14:textId="77777777" w:rsidR="00DB6FC0" w:rsidRPr="006B2E6F" w:rsidRDefault="00DB6FC0" w:rsidP="00235CE4">
            <w:pPr>
              <w:rPr>
                <w:rFonts w:ascii="Georgia" w:hAnsi="Georgia"/>
                <w:bCs/>
              </w:rPr>
            </w:pPr>
          </w:p>
        </w:tc>
        <w:tc>
          <w:tcPr>
            <w:tcW w:w="1620" w:type="dxa"/>
          </w:tcPr>
          <w:p w14:paraId="2329EBEA" w14:textId="77777777" w:rsidR="00DB6FC0" w:rsidRPr="006B2E6F" w:rsidRDefault="00DB6FC0" w:rsidP="00235CE4">
            <w:pPr>
              <w:rPr>
                <w:rFonts w:ascii="Georgia" w:hAnsi="Georgia"/>
                <w:bCs/>
              </w:rPr>
            </w:pPr>
          </w:p>
        </w:tc>
        <w:tc>
          <w:tcPr>
            <w:tcW w:w="1170" w:type="dxa"/>
          </w:tcPr>
          <w:p w14:paraId="1A4C47D4" w14:textId="77777777" w:rsidR="00DB6FC0" w:rsidRPr="006B2E6F" w:rsidRDefault="00DB6FC0" w:rsidP="00235CE4">
            <w:pPr>
              <w:rPr>
                <w:rFonts w:ascii="Georgia" w:hAnsi="Georgia"/>
                <w:bCs/>
              </w:rPr>
            </w:pPr>
          </w:p>
        </w:tc>
        <w:tc>
          <w:tcPr>
            <w:tcW w:w="1440" w:type="dxa"/>
          </w:tcPr>
          <w:p w14:paraId="7B6C3EFE" w14:textId="77777777" w:rsidR="00DB6FC0" w:rsidRPr="006B2E6F" w:rsidRDefault="00DB6FC0" w:rsidP="00235CE4">
            <w:pPr>
              <w:rPr>
                <w:rFonts w:ascii="Georgia" w:hAnsi="Georgia"/>
                <w:bCs/>
              </w:rPr>
            </w:pPr>
          </w:p>
        </w:tc>
      </w:tr>
      <w:tr w:rsidR="00DB6FC0" w:rsidRPr="006B2E6F" w14:paraId="4E35C2CC" w14:textId="77777777" w:rsidTr="00235CE4">
        <w:trPr>
          <w:jc w:val="right"/>
        </w:trPr>
        <w:tc>
          <w:tcPr>
            <w:tcW w:w="1008" w:type="dxa"/>
          </w:tcPr>
          <w:p w14:paraId="242ABF84" w14:textId="77777777" w:rsidR="00DB6FC0" w:rsidRPr="006B2E6F" w:rsidRDefault="00DB6FC0" w:rsidP="00235CE4">
            <w:pPr>
              <w:rPr>
                <w:rFonts w:ascii="Georgia" w:hAnsi="Georgia"/>
                <w:bCs/>
              </w:rPr>
            </w:pPr>
            <w:r w:rsidRPr="006B2E6F">
              <w:rPr>
                <w:rFonts w:ascii="Georgia" w:hAnsi="Georgia"/>
                <w:bCs/>
              </w:rPr>
              <w:t>20</w:t>
            </w:r>
            <w:r>
              <w:rPr>
                <w:rFonts w:ascii="Georgia" w:hAnsi="Georgia"/>
                <w:bCs/>
              </w:rPr>
              <w:t>20</w:t>
            </w:r>
          </w:p>
        </w:tc>
        <w:tc>
          <w:tcPr>
            <w:tcW w:w="992" w:type="dxa"/>
          </w:tcPr>
          <w:p w14:paraId="1701F0A4" w14:textId="77777777" w:rsidR="00DB6FC0" w:rsidRPr="006B2E6F" w:rsidRDefault="00DB6FC0" w:rsidP="00235CE4">
            <w:pPr>
              <w:rPr>
                <w:rFonts w:ascii="Georgia" w:hAnsi="Georgia"/>
                <w:bCs/>
              </w:rPr>
            </w:pPr>
          </w:p>
        </w:tc>
        <w:tc>
          <w:tcPr>
            <w:tcW w:w="1440" w:type="dxa"/>
          </w:tcPr>
          <w:p w14:paraId="40798B36" w14:textId="77777777" w:rsidR="00DB6FC0" w:rsidRPr="006B2E6F" w:rsidRDefault="00DB6FC0" w:rsidP="00235CE4">
            <w:pPr>
              <w:rPr>
                <w:rFonts w:ascii="Georgia" w:hAnsi="Georgia"/>
                <w:bCs/>
              </w:rPr>
            </w:pPr>
          </w:p>
        </w:tc>
        <w:tc>
          <w:tcPr>
            <w:tcW w:w="992" w:type="dxa"/>
          </w:tcPr>
          <w:p w14:paraId="11DE62F9" w14:textId="77777777" w:rsidR="00DB6FC0" w:rsidRPr="006B2E6F" w:rsidRDefault="00DB6FC0" w:rsidP="00235CE4">
            <w:pPr>
              <w:rPr>
                <w:rFonts w:ascii="Georgia" w:hAnsi="Georgia"/>
                <w:bCs/>
              </w:rPr>
            </w:pPr>
          </w:p>
        </w:tc>
        <w:tc>
          <w:tcPr>
            <w:tcW w:w="1620" w:type="dxa"/>
          </w:tcPr>
          <w:p w14:paraId="1B87A175" w14:textId="77777777" w:rsidR="00DB6FC0" w:rsidRPr="006B2E6F" w:rsidRDefault="00DB6FC0" w:rsidP="00235CE4">
            <w:pPr>
              <w:rPr>
                <w:rFonts w:ascii="Georgia" w:hAnsi="Georgia"/>
                <w:bCs/>
              </w:rPr>
            </w:pPr>
          </w:p>
        </w:tc>
        <w:tc>
          <w:tcPr>
            <w:tcW w:w="1170" w:type="dxa"/>
          </w:tcPr>
          <w:p w14:paraId="3D49C56B" w14:textId="77777777" w:rsidR="00DB6FC0" w:rsidRPr="006B2E6F" w:rsidRDefault="00DB6FC0" w:rsidP="00235CE4">
            <w:pPr>
              <w:rPr>
                <w:rFonts w:ascii="Georgia" w:hAnsi="Georgia"/>
                <w:bCs/>
              </w:rPr>
            </w:pPr>
          </w:p>
        </w:tc>
        <w:tc>
          <w:tcPr>
            <w:tcW w:w="1440" w:type="dxa"/>
          </w:tcPr>
          <w:p w14:paraId="52277163" w14:textId="77777777" w:rsidR="00DB6FC0" w:rsidRPr="006B2E6F" w:rsidRDefault="00DB6FC0" w:rsidP="00235CE4">
            <w:pPr>
              <w:rPr>
                <w:rFonts w:ascii="Georgia" w:hAnsi="Georgia"/>
                <w:bCs/>
              </w:rPr>
            </w:pPr>
          </w:p>
        </w:tc>
      </w:tr>
      <w:tr w:rsidR="00DB6FC0" w:rsidRPr="006B2E6F" w14:paraId="5E79AE79" w14:textId="77777777" w:rsidTr="00235CE4">
        <w:trPr>
          <w:jc w:val="right"/>
        </w:trPr>
        <w:tc>
          <w:tcPr>
            <w:tcW w:w="1008" w:type="dxa"/>
          </w:tcPr>
          <w:p w14:paraId="7F7EF228" w14:textId="77777777" w:rsidR="00DB6FC0" w:rsidRPr="006B2E6F" w:rsidRDefault="00DB6FC0" w:rsidP="00235CE4">
            <w:pPr>
              <w:rPr>
                <w:rFonts w:ascii="Georgia" w:hAnsi="Georgia"/>
                <w:bCs/>
              </w:rPr>
            </w:pPr>
            <w:r w:rsidRPr="006B2E6F">
              <w:rPr>
                <w:rFonts w:ascii="Georgia" w:hAnsi="Georgia"/>
                <w:bCs/>
              </w:rPr>
              <w:t>20</w:t>
            </w:r>
            <w:r>
              <w:rPr>
                <w:rFonts w:ascii="Georgia" w:hAnsi="Georgia"/>
                <w:bCs/>
              </w:rPr>
              <w:t>21</w:t>
            </w:r>
          </w:p>
        </w:tc>
        <w:tc>
          <w:tcPr>
            <w:tcW w:w="992" w:type="dxa"/>
          </w:tcPr>
          <w:p w14:paraId="441CF7DF" w14:textId="77777777" w:rsidR="00DB6FC0" w:rsidRPr="006B2E6F" w:rsidRDefault="00DB6FC0" w:rsidP="00235CE4">
            <w:pPr>
              <w:rPr>
                <w:rFonts w:ascii="Georgia" w:hAnsi="Georgia"/>
                <w:bCs/>
              </w:rPr>
            </w:pPr>
          </w:p>
        </w:tc>
        <w:tc>
          <w:tcPr>
            <w:tcW w:w="1440" w:type="dxa"/>
          </w:tcPr>
          <w:p w14:paraId="265DEBEC" w14:textId="77777777" w:rsidR="00DB6FC0" w:rsidRPr="006B2E6F" w:rsidRDefault="00DB6FC0" w:rsidP="00235CE4">
            <w:pPr>
              <w:rPr>
                <w:rFonts w:ascii="Georgia" w:hAnsi="Georgia"/>
                <w:bCs/>
              </w:rPr>
            </w:pPr>
          </w:p>
        </w:tc>
        <w:tc>
          <w:tcPr>
            <w:tcW w:w="992" w:type="dxa"/>
          </w:tcPr>
          <w:p w14:paraId="7C308244" w14:textId="77777777" w:rsidR="00DB6FC0" w:rsidRPr="006B2E6F" w:rsidRDefault="00DB6FC0" w:rsidP="00235CE4">
            <w:pPr>
              <w:rPr>
                <w:rFonts w:ascii="Georgia" w:hAnsi="Georgia"/>
                <w:bCs/>
              </w:rPr>
            </w:pPr>
          </w:p>
        </w:tc>
        <w:tc>
          <w:tcPr>
            <w:tcW w:w="1620" w:type="dxa"/>
          </w:tcPr>
          <w:p w14:paraId="6C025A1E" w14:textId="77777777" w:rsidR="00DB6FC0" w:rsidRPr="006B2E6F" w:rsidRDefault="00DB6FC0" w:rsidP="00235CE4">
            <w:pPr>
              <w:rPr>
                <w:rFonts w:ascii="Georgia" w:hAnsi="Georgia"/>
                <w:bCs/>
              </w:rPr>
            </w:pPr>
          </w:p>
        </w:tc>
        <w:tc>
          <w:tcPr>
            <w:tcW w:w="1170" w:type="dxa"/>
          </w:tcPr>
          <w:p w14:paraId="31483500" w14:textId="77777777" w:rsidR="00DB6FC0" w:rsidRPr="006B2E6F" w:rsidRDefault="00DB6FC0" w:rsidP="00235CE4">
            <w:pPr>
              <w:rPr>
                <w:rFonts w:ascii="Georgia" w:hAnsi="Georgia"/>
                <w:bCs/>
              </w:rPr>
            </w:pPr>
          </w:p>
        </w:tc>
        <w:tc>
          <w:tcPr>
            <w:tcW w:w="1440" w:type="dxa"/>
          </w:tcPr>
          <w:p w14:paraId="3A25FD78" w14:textId="77777777" w:rsidR="00DB6FC0" w:rsidRPr="006B2E6F" w:rsidRDefault="00DB6FC0" w:rsidP="00235CE4">
            <w:pPr>
              <w:rPr>
                <w:rFonts w:ascii="Georgia" w:hAnsi="Georgia"/>
                <w:bCs/>
              </w:rPr>
            </w:pPr>
          </w:p>
        </w:tc>
      </w:tr>
      <w:tr w:rsidR="00DB6FC0" w:rsidRPr="006B2E6F" w14:paraId="7194FD4B" w14:textId="77777777" w:rsidTr="00235CE4">
        <w:trPr>
          <w:jc w:val="right"/>
        </w:trPr>
        <w:tc>
          <w:tcPr>
            <w:tcW w:w="1008" w:type="dxa"/>
          </w:tcPr>
          <w:p w14:paraId="7D27358A" w14:textId="77777777" w:rsidR="00DB6FC0" w:rsidRPr="006B2E6F" w:rsidRDefault="00DB6FC0" w:rsidP="00235CE4">
            <w:pPr>
              <w:rPr>
                <w:rFonts w:ascii="Georgia" w:hAnsi="Georgia"/>
                <w:bCs/>
              </w:rPr>
            </w:pPr>
            <w:r w:rsidRPr="006B2E6F">
              <w:rPr>
                <w:rFonts w:ascii="Georgia" w:hAnsi="Georgia"/>
                <w:bCs/>
              </w:rPr>
              <w:t>20</w:t>
            </w:r>
            <w:r>
              <w:rPr>
                <w:rFonts w:ascii="Georgia" w:hAnsi="Georgia"/>
                <w:bCs/>
              </w:rPr>
              <w:t>22</w:t>
            </w:r>
          </w:p>
        </w:tc>
        <w:tc>
          <w:tcPr>
            <w:tcW w:w="992" w:type="dxa"/>
          </w:tcPr>
          <w:p w14:paraId="643DEA50" w14:textId="77777777" w:rsidR="00DB6FC0" w:rsidRPr="006B2E6F" w:rsidRDefault="00DB6FC0" w:rsidP="00235CE4">
            <w:pPr>
              <w:rPr>
                <w:rFonts w:ascii="Georgia" w:hAnsi="Georgia"/>
                <w:bCs/>
              </w:rPr>
            </w:pPr>
          </w:p>
        </w:tc>
        <w:tc>
          <w:tcPr>
            <w:tcW w:w="1440" w:type="dxa"/>
          </w:tcPr>
          <w:p w14:paraId="3652F094" w14:textId="77777777" w:rsidR="00DB6FC0" w:rsidRPr="006B2E6F" w:rsidRDefault="00DB6FC0" w:rsidP="00235CE4">
            <w:pPr>
              <w:rPr>
                <w:rFonts w:ascii="Georgia" w:hAnsi="Georgia"/>
                <w:bCs/>
              </w:rPr>
            </w:pPr>
          </w:p>
        </w:tc>
        <w:tc>
          <w:tcPr>
            <w:tcW w:w="992" w:type="dxa"/>
          </w:tcPr>
          <w:p w14:paraId="26E43EBA" w14:textId="77777777" w:rsidR="00DB6FC0" w:rsidRPr="006B2E6F" w:rsidRDefault="00DB6FC0" w:rsidP="00235CE4">
            <w:pPr>
              <w:rPr>
                <w:rFonts w:ascii="Georgia" w:hAnsi="Georgia"/>
                <w:bCs/>
              </w:rPr>
            </w:pPr>
          </w:p>
        </w:tc>
        <w:tc>
          <w:tcPr>
            <w:tcW w:w="1620" w:type="dxa"/>
          </w:tcPr>
          <w:p w14:paraId="1D471AB2" w14:textId="77777777" w:rsidR="00DB6FC0" w:rsidRPr="006B2E6F" w:rsidRDefault="00DB6FC0" w:rsidP="00235CE4">
            <w:pPr>
              <w:rPr>
                <w:rFonts w:ascii="Georgia" w:hAnsi="Georgia"/>
                <w:bCs/>
              </w:rPr>
            </w:pPr>
          </w:p>
        </w:tc>
        <w:tc>
          <w:tcPr>
            <w:tcW w:w="1170" w:type="dxa"/>
          </w:tcPr>
          <w:p w14:paraId="4BD7F030" w14:textId="77777777" w:rsidR="00DB6FC0" w:rsidRPr="006B2E6F" w:rsidRDefault="00DB6FC0" w:rsidP="00235CE4">
            <w:pPr>
              <w:rPr>
                <w:rFonts w:ascii="Georgia" w:hAnsi="Georgia"/>
                <w:bCs/>
              </w:rPr>
            </w:pPr>
          </w:p>
        </w:tc>
        <w:tc>
          <w:tcPr>
            <w:tcW w:w="1440" w:type="dxa"/>
          </w:tcPr>
          <w:p w14:paraId="36262CE4" w14:textId="77777777" w:rsidR="00DB6FC0" w:rsidRPr="006B2E6F" w:rsidRDefault="00DB6FC0" w:rsidP="00235CE4">
            <w:pPr>
              <w:rPr>
                <w:rFonts w:ascii="Georgia" w:hAnsi="Georgia"/>
                <w:bCs/>
              </w:rPr>
            </w:pPr>
          </w:p>
        </w:tc>
      </w:tr>
      <w:tr w:rsidR="00DB6FC0" w:rsidRPr="006B2E6F" w14:paraId="0AD73DB4" w14:textId="77777777" w:rsidTr="00235CE4">
        <w:trPr>
          <w:jc w:val="right"/>
        </w:trPr>
        <w:tc>
          <w:tcPr>
            <w:tcW w:w="1008" w:type="dxa"/>
          </w:tcPr>
          <w:p w14:paraId="7BC6179C" w14:textId="77777777" w:rsidR="00DB6FC0" w:rsidRPr="006B2E6F" w:rsidRDefault="00DB6FC0" w:rsidP="00235CE4">
            <w:pPr>
              <w:rPr>
                <w:rFonts w:ascii="Georgia" w:hAnsi="Georgia"/>
                <w:bCs/>
              </w:rPr>
            </w:pPr>
            <w:r w:rsidRPr="006B2E6F">
              <w:rPr>
                <w:rFonts w:ascii="Georgia" w:hAnsi="Georgia"/>
                <w:bCs/>
              </w:rPr>
              <w:t>20</w:t>
            </w:r>
            <w:r>
              <w:rPr>
                <w:rFonts w:ascii="Georgia" w:hAnsi="Georgia"/>
                <w:bCs/>
              </w:rPr>
              <w:t>23</w:t>
            </w:r>
          </w:p>
        </w:tc>
        <w:tc>
          <w:tcPr>
            <w:tcW w:w="992" w:type="dxa"/>
          </w:tcPr>
          <w:p w14:paraId="7984B521" w14:textId="77777777" w:rsidR="00DB6FC0" w:rsidRPr="006B2E6F" w:rsidRDefault="00DB6FC0" w:rsidP="00235CE4">
            <w:pPr>
              <w:rPr>
                <w:rFonts w:ascii="Georgia" w:hAnsi="Georgia"/>
                <w:bCs/>
              </w:rPr>
            </w:pPr>
          </w:p>
        </w:tc>
        <w:tc>
          <w:tcPr>
            <w:tcW w:w="1440" w:type="dxa"/>
          </w:tcPr>
          <w:p w14:paraId="73259DC2" w14:textId="77777777" w:rsidR="00DB6FC0" w:rsidRPr="006B2E6F" w:rsidRDefault="00DB6FC0" w:rsidP="00235CE4">
            <w:pPr>
              <w:rPr>
                <w:rFonts w:ascii="Georgia" w:hAnsi="Georgia"/>
                <w:bCs/>
              </w:rPr>
            </w:pPr>
          </w:p>
        </w:tc>
        <w:tc>
          <w:tcPr>
            <w:tcW w:w="992" w:type="dxa"/>
          </w:tcPr>
          <w:p w14:paraId="0522158A" w14:textId="77777777" w:rsidR="00DB6FC0" w:rsidRPr="006B2E6F" w:rsidRDefault="00DB6FC0" w:rsidP="00235CE4">
            <w:pPr>
              <w:rPr>
                <w:rFonts w:ascii="Georgia" w:hAnsi="Georgia"/>
                <w:bCs/>
              </w:rPr>
            </w:pPr>
          </w:p>
        </w:tc>
        <w:tc>
          <w:tcPr>
            <w:tcW w:w="1620" w:type="dxa"/>
          </w:tcPr>
          <w:p w14:paraId="07A0FE91" w14:textId="77777777" w:rsidR="00DB6FC0" w:rsidRPr="006B2E6F" w:rsidRDefault="00DB6FC0" w:rsidP="00235CE4">
            <w:pPr>
              <w:rPr>
                <w:rFonts w:ascii="Georgia" w:hAnsi="Georgia"/>
                <w:bCs/>
              </w:rPr>
            </w:pPr>
          </w:p>
        </w:tc>
        <w:tc>
          <w:tcPr>
            <w:tcW w:w="1170" w:type="dxa"/>
          </w:tcPr>
          <w:p w14:paraId="4652B354" w14:textId="77777777" w:rsidR="00DB6FC0" w:rsidRPr="006B2E6F" w:rsidRDefault="00DB6FC0" w:rsidP="00235CE4">
            <w:pPr>
              <w:rPr>
                <w:rFonts w:ascii="Georgia" w:hAnsi="Georgia"/>
                <w:bCs/>
              </w:rPr>
            </w:pPr>
          </w:p>
        </w:tc>
        <w:tc>
          <w:tcPr>
            <w:tcW w:w="1440" w:type="dxa"/>
          </w:tcPr>
          <w:p w14:paraId="6DB66F43" w14:textId="77777777" w:rsidR="00DB6FC0" w:rsidRPr="006B2E6F" w:rsidRDefault="00DB6FC0" w:rsidP="00235CE4">
            <w:pPr>
              <w:rPr>
                <w:rFonts w:ascii="Georgia" w:hAnsi="Georgia"/>
                <w:bCs/>
              </w:rPr>
            </w:pPr>
          </w:p>
        </w:tc>
      </w:tr>
      <w:tr w:rsidR="00DB6FC0" w:rsidRPr="006B2E6F" w14:paraId="056F406E" w14:textId="77777777" w:rsidTr="00235CE4">
        <w:trPr>
          <w:jc w:val="right"/>
        </w:trPr>
        <w:tc>
          <w:tcPr>
            <w:tcW w:w="1008" w:type="dxa"/>
          </w:tcPr>
          <w:p w14:paraId="7E66C647" w14:textId="77777777" w:rsidR="00DB6FC0" w:rsidRPr="006B2E6F" w:rsidRDefault="00DB6FC0" w:rsidP="00235CE4">
            <w:pPr>
              <w:rPr>
                <w:rFonts w:ascii="Georgia" w:hAnsi="Georgia"/>
                <w:bCs/>
              </w:rPr>
            </w:pPr>
            <w:r w:rsidRPr="006B2E6F">
              <w:rPr>
                <w:rFonts w:ascii="Georgia" w:hAnsi="Georgia"/>
                <w:bCs/>
              </w:rPr>
              <w:t>TOTAL</w:t>
            </w:r>
          </w:p>
        </w:tc>
        <w:tc>
          <w:tcPr>
            <w:tcW w:w="992" w:type="dxa"/>
          </w:tcPr>
          <w:p w14:paraId="47D19238" w14:textId="77777777" w:rsidR="00DB6FC0" w:rsidRPr="006B2E6F" w:rsidRDefault="00DB6FC0" w:rsidP="00235CE4">
            <w:pPr>
              <w:rPr>
                <w:rFonts w:ascii="Georgia" w:hAnsi="Georgia"/>
                <w:bCs/>
              </w:rPr>
            </w:pPr>
          </w:p>
        </w:tc>
        <w:tc>
          <w:tcPr>
            <w:tcW w:w="1440" w:type="dxa"/>
          </w:tcPr>
          <w:p w14:paraId="4DE35512" w14:textId="77777777" w:rsidR="00DB6FC0" w:rsidRPr="006B2E6F" w:rsidRDefault="00DB6FC0" w:rsidP="00235CE4">
            <w:pPr>
              <w:rPr>
                <w:rFonts w:ascii="Georgia" w:hAnsi="Georgia"/>
                <w:bCs/>
              </w:rPr>
            </w:pPr>
          </w:p>
        </w:tc>
        <w:tc>
          <w:tcPr>
            <w:tcW w:w="992" w:type="dxa"/>
          </w:tcPr>
          <w:p w14:paraId="25436E81" w14:textId="77777777" w:rsidR="00DB6FC0" w:rsidRPr="006B2E6F" w:rsidRDefault="00DB6FC0" w:rsidP="00235CE4">
            <w:pPr>
              <w:rPr>
                <w:rFonts w:ascii="Georgia" w:hAnsi="Georgia"/>
                <w:bCs/>
              </w:rPr>
            </w:pPr>
          </w:p>
        </w:tc>
        <w:tc>
          <w:tcPr>
            <w:tcW w:w="1620" w:type="dxa"/>
          </w:tcPr>
          <w:p w14:paraId="26F311F9" w14:textId="77777777" w:rsidR="00DB6FC0" w:rsidRPr="006B2E6F" w:rsidRDefault="00DB6FC0" w:rsidP="00235CE4">
            <w:pPr>
              <w:rPr>
                <w:rFonts w:ascii="Georgia" w:hAnsi="Georgia"/>
                <w:bCs/>
              </w:rPr>
            </w:pPr>
          </w:p>
        </w:tc>
        <w:tc>
          <w:tcPr>
            <w:tcW w:w="1170" w:type="dxa"/>
          </w:tcPr>
          <w:p w14:paraId="56053F65" w14:textId="77777777" w:rsidR="00DB6FC0" w:rsidRPr="006B2E6F" w:rsidRDefault="00DB6FC0" w:rsidP="00235CE4">
            <w:pPr>
              <w:rPr>
                <w:rFonts w:ascii="Georgia" w:hAnsi="Georgia"/>
                <w:bCs/>
              </w:rPr>
            </w:pPr>
          </w:p>
        </w:tc>
        <w:tc>
          <w:tcPr>
            <w:tcW w:w="1440" w:type="dxa"/>
          </w:tcPr>
          <w:p w14:paraId="225DD98A" w14:textId="77777777" w:rsidR="00DB6FC0" w:rsidRPr="006B2E6F" w:rsidRDefault="00DB6FC0" w:rsidP="00235CE4">
            <w:pPr>
              <w:rPr>
                <w:rFonts w:ascii="Georgia" w:hAnsi="Georgia"/>
                <w:bCs/>
              </w:rPr>
            </w:pPr>
          </w:p>
        </w:tc>
      </w:tr>
    </w:tbl>
    <w:p w14:paraId="0866CE78" w14:textId="77777777" w:rsidR="00DB6FC0" w:rsidRPr="00155376" w:rsidRDefault="00DB6FC0" w:rsidP="001F5B4F">
      <w:pPr>
        <w:pStyle w:val="ListParagraph"/>
        <w:rPr>
          <w:rFonts w:ascii="Times New Roman" w:hAnsi="Times New Roman"/>
        </w:rPr>
      </w:pPr>
    </w:p>
    <w:p w14:paraId="68F2BDFE" w14:textId="30380298" w:rsidR="001F5B4F" w:rsidRPr="00F43CB0" w:rsidRDefault="00F43CB0" w:rsidP="004211DE">
      <w:pPr>
        <w:pStyle w:val="Heading3"/>
        <w:rPr>
          <w:i/>
          <w:iCs/>
        </w:rPr>
      </w:pPr>
      <w:r w:rsidRPr="00F43CB0">
        <w:t>For 2019 through and inclusive of 2023, list the specific non-Nevada transactions that each</w:t>
      </w:r>
      <w:r w:rsidR="009D1963" w:rsidRPr="009D1963">
        <w:t xml:space="preserve"> </w:t>
      </w:r>
      <w:r w:rsidR="00D7026C">
        <w:t xml:space="preserve">of the </w:t>
      </w:r>
      <w:r w:rsidR="009D1963">
        <w:t xml:space="preserve">Key Personnel (personnel who will be assigned to this contract) </w:t>
      </w:r>
      <w:r w:rsidRPr="00F43CB0">
        <w:t xml:space="preserve">acted as </w:t>
      </w:r>
      <w:r w:rsidRPr="00F43CB0">
        <w:rPr>
          <w:u w:val="single"/>
        </w:rPr>
        <w:t>lead disclosure counsel</w:t>
      </w:r>
      <w:r w:rsidRPr="00F43CB0">
        <w:t xml:space="preserve">.  </w:t>
      </w:r>
      <w:r w:rsidRPr="00F43CB0">
        <w:rPr>
          <w:i/>
          <w:iCs/>
        </w:rPr>
        <w:t>[NOTE:  Failure to provide information on specific issuances, which is public information, will likely result in a lower score for this area.]</w:t>
      </w:r>
    </w:p>
    <w:p w14:paraId="542155B2" w14:textId="77777777" w:rsidR="00F43CB0" w:rsidRPr="00155376" w:rsidRDefault="00F43CB0" w:rsidP="001F5B4F">
      <w:pPr>
        <w:pStyle w:val="ListParagraph"/>
        <w:rPr>
          <w:rFonts w:ascii="Times New Roman" w:hAnsi="Times New Roman"/>
        </w:rPr>
      </w:pPr>
    </w:p>
    <w:p w14:paraId="43760E88" w14:textId="689AD821" w:rsidR="00064FE7" w:rsidRPr="00064FE7" w:rsidRDefault="00064FE7" w:rsidP="004211DE">
      <w:pPr>
        <w:pStyle w:val="Heading3"/>
      </w:pPr>
      <w:r w:rsidRPr="00064FE7">
        <w:t xml:space="preserve">State whether the firm specializes and practices full time </w:t>
      </w:r>
      <w:proofErr w:type="gramStart"/>
      <w:r w:rsidRPr="00064FE7">
        <w:t>in the area of</w:t>
      </w:r>
      <w:proofErr w:type="gramEnd"/>
      <w:r w:rsidRPr="00064FE7">
        <w:t xml:space="preserve"> public finance.  If not, describe the areas of practice the firm engages in.</w:t>
      </w:r>
    </w:p>
    <w:p w14:paraId="47E58858" w14:textId="77777777" w:rsidR="001F5B4F" w:rsidRPr="00155376" w:rsidRDefault="001F5B4F" w:rsidP="001F5B4F">
      <w:pPr>
        <w:pStyle w:val="ListParagraph"/>
        <w:rPr>
          <w:rFonts w:ascii="Times New Roman" w:hAnsi="Times New Roman"/>
        </w:rPr>
      </w:pPr>
    </w:p>
    <w:p w14:paraId="699E39FE" w14:textId="4493B8D9" w:rsidR="001F5B4F" w:rsidRPr="001C22CA" w:rsidRDefault="001C22CA" w:rsidP="004211DE">
      <w:pPr>
        <w:pStyle w:val="Heading3"/>
      </w:pPr>
      <w:r w:rsidRPr="001C22CA">
        <w:t xml:space="preserve">Describe </w:t>
      </w:r>
      <w:r w:rsidR="004B2F10" w:rsidRPr="001C22CA">
        <w:t xml:space="preserve">the Key Personnel’s knowledge and experience working on financings of the State and of comparable issuers, and financings of similar size, </w:t>
      </w:r>
      <w:proofErr w:type="gramStart"/>
      <w:r w:rsidR="004B2F10" w:rsidRPr="001C22CA">
        <w:t>types</w:t>
      </w:r>
      <w:proofErr w:type="gramEnd"/>
      <w:r w:rsidR="004B2F10" w:rsidRPr="001C22CA">
        <w:t xml:space="preserve"> and structures.</w:t>
      </w:r>
    </w:p>
    <w:p w14:paraId="2403DCDE" w14:textId="77777777" w:rsidR="004B2F10" w:rsidRPr="00155376" w:rsidRDefault="004B2F10" w:rsidP="001F5B4F">
      <w:pPr>
        <w:pStyle w:val="ListParagraph"/>
        <w:rPr>
          <w:rFonts w:ascii="Times New Roman" w:hAnsi="Times New Roman"/>
        </w:rPr>
      </w:pPr>
    </w:p>
    <w:p w14:paraId="003D80A5" w14:textId="28AC6137" w:rsidR="001F5B4F" w:rsidRDefault="00B07AAB" w:rsidP="004211DE">
      <w:pPr>
        <w:pStyle w:val="Heading3"/>
      </w:pPr>
      <w:r w:rsidRPr="00B07AAB">
        <w:t>Describe the Key Personnel’s knowledge and experience working on other issuances within Nevada.</w:t>
      </w:r>
    </w:p>
    <w:p w14:paraId="1F9199C7" w14:textId="77777777" w:rsidR="00FC2D44" w:rsidRDefault="00FC2D44" w:rsidP="00FC2D44">
      <w:pPr>
        <w:pStyle w:val="ListParagraph"/>
      </w:pPr>
    </w:p>
    <w:p w14:paraId="3372EAFD" w14:textId="09D51771" w:rsidR="008236A6" w:rsidRPr="001852F8" w:rsidRDefault="001852F8" w:rsidP="004211DE">
      <w:pPr>
        <w:pStyle w:val="Heading3"/>
      </w:pPr>
      <w:r w:rsidRPr="001852F8">
        <w:t xml:space="preserve">Describe </w:t>
      </w:r>
      <w:r w:rsidR="00497142" w:rsidRPr="001852F8">
        <w:t xml:space="preserve">the firm’s experience in public finance tax matters, and specifically, the experience of the firm’s attorneys who practice full time </w:t>
      </w:r>
      <w:proofErr w:type="gramStart"/>
      <w:r w:rsidR="00497142" w:rsidRPr="001852F8">
        <w:t>in the area of</w:t>
      </w:r>
      <w:proofErr w:type="gramEnd"/>
      <w:r w:rsidR="00497142" w:rsidRPr="001852F8">
        <w:t xml:space="preserve"> public finance tax law.</w:t>
      </w:r>
    </w:p>
    <w:p w14:paraId="271E19EA" w14:textId="77777777" w:rsidR="00497142" w:rsidRPr="00155376" w:rsidRDefault="00497142" w:rsidP="001F5B4F">
      <w:pPr>
        <w:pStyle w:val="ListParagraph"/>
        <w:rPr>
          <w:rFonts w:ascii="Times New Roman" w:hAnsi="Times New Roman"/>
        </w:rPr>
      </w:pPr>
    </w:p>
    <w:p w14:paraId="343901B2" w14:textId="47D0637F" w:rsidR="001F5B4F" w:rsidRPr="009A73DF" w:rsidRDefault="009A73DF" w:rsidP="004211DE">
      <w:pPr>
        <w:pStyle w:val="Heading3"/>
      </w:pPr>
      <w:r w:rsidRPr="009A73DF">
        <w:t>Describe the firm’s process and resources for keeping abreast of changes in state and federal law and regulation and for maintaining the legal expertise necessary to successfully represent the State’s interests in such matters.</w:t>
      </w:r>
    </w:p>
    <w:p w14:paraId="40E73A1D" w14:textId="77777777" w:rsidR="009A73DF" w:rsidRPr="00155376" w:rsidRDefault="009A73DF" w:rsidP="001F5B4F">
      <w:pPr>
        <w:pStyle w:val="ListParagraph"/>
        <w:rPr>
          <w:rFonts w:ascii="Times New Roman" w:hAnsi="Times New Roman"/>
        </w:rPr>
      </w:pPr>
    </w:p>
    <w:p w14:paraId="24B60CE0" w14:textId="5B3C1C18" w:rsidR="001F5B4F" w:rsidRPr="006159C6" w:rsidRDefault="006159C6" w:rsidP="004211DE">
      <w:pPr>
        <w:pStyle w:val="Heading3"/>
      </w:pPr>
      <w:r w:rsidRPr="006159C6">
        <w:t>Describe the firm’s organizational structure and its ability to access attorneys other than the Key Personnel when specialized expertise in a specific area of finance is required.</w:t>
      </w:r>
    </w:p>
    <w:p w14:paraId="1DCE7C8D" w14:textId="77777777" w:rsidR="006159C6" w:rsidRPr="00155376" w:rsidRDefault="006159C6" w:rsidP="001F5B4F">
      <w:pPr>
        <w:pStyle w:val="ListParagraph"/>
        <w:rPr>
          <w:rFonts w:ascii="Times New Roman" w:hAnsi="Times New Roman"/>
        </w:rPr>
      </w:pPr>
    </w:p>
    <w:p w14:paraId="67FCB5AA" w14:textId="6C49A6FD" w:rsidR="001F5B4F" w:rsidRPr="00CF06B1" w:rsidRDefault="00CF06B1" w:rsidP="004211DE">
      <w:pPr>
        <w:pStyle w:val="Heading3"/>
      </w:pPr>
      <w:r w:rsidRPr="00CF06B1">
        <w:t xml:space="preserve">Describe </w:t>
      </w:r>
      <w:r w:rsidR="00430A57" w:rsidRPr="00CF06B1">
        <w:t>the quality control and due diligence procedures of the firm.</w:t>
      </w:r>
    </w:p>
    <w:p w14:paraId="1E9673D2" w14:textId="77777777" w:rsidR="00CF06B1" w:rsidRPr="00155376" w:rsidRDefault="00CF06B1" w:rsidP="001F5B4F">
      <w:pPr>
        <w:pStyle w:val="ListParagraph"/>
        <w:rPr>
          <w:rFonts w:ascii="Times New Roman" w:hAnsi="Times New Roman"/>
        </w:rPr>
      </w:pPr>
    </w:p>
    <w:p w14:paraId="5AA1F8B6" w14:textId="03DE8460" w:rsidR="00612FDF" w:rsidRPr="00FA7D74" w:rsidRDefault="00FA7D74" w:rsidP="004211DE">
      <w:pPr>
        <w:pStyle w:val="Heading3"/>
      </w:pPr>
      <w:r w:rsidRPr="00FA7D74">
        <w:t xml:space="preserve">List </w:t>
      </w:r>
      <w:r w:rsidR="00612FDF" w:rsidRPr="00FA7D74">
        <w:t>the date and entity for which the firm provided Tax-Exempt Post-Issuance Compliance or Disclosure training to from 2019 through and inclusive of 2023.  If applicable, state whether any of the Key Personnel assigned to the Office led or participated in the training.</w:t>
      </w:r>
    </w:p>
    <w:p w14:paraId="558E1E1D" w14:textId="77777777" w:rsidR="00CB5CB3" w:rsidRPr="00155376" w:rsidRDefault="00CB5CB3" w:rsidP="00CB5CB3">
      <w:pPr>
        <w:pStyle w:val="ListParagraph"/>
        <w:rPr>
          <w:rFonts w:ascii="Times New Roman" w:hAnsi="Times New Roman"/>
        </w:rPr>
      </w:pPr>
    </w:p>
    <w:p w14:paraId="26142DA2" w14:textId="3FCCF8C4" w:rsidR="00CB5CB3" w:rsidRPr="002063FC" w:rsidRDefault="00CB5CB3" w:rsidP="004211DE">
      <w:pPr>
        <w:pStyle w:val="Heading3"/>
      </w:pPr>
      <w:r w:rsidRPr="00155376">
        <w:t>Describe</w:t>
      </w:r>
      <w:r w:rsidR="002063FC">
        <w:t xml:space="preserve"> </w:t>
      </w:r>
      <w:r w:rsidR="00A97422" w:rsidRPr="002063FC">
        <w:t>the firm’s general and Nevada expertise in specialized areas of finance such as, but not limited to, transportation, public-private partnerships, lease-purchases, securitizations, special improvement districts, and tax increment areas.</w:t>
      </w:r>
    </w:p>
    <w:p w14:paraId="5571246F" w14:textId="77777777" w:rsidR="00A97422" w:rsidRPr="00155376" w:rsidRDefault="00A97422" w:rsidP="004211DE">
      <w:pPr>
        <w:pStyle w:val="Heading3"/>
        <w:numPr>
          <w:ilvl w:val="0"/>
          <w:numId w:val="0"/>
        </w:numPr>
      </w:pPr>
    </w:p>
    <w:p w14:paraId="2E70C416" w14:textId="3DE7E29D" w:rsidR="0012225F" w:rsidRPr="00D31585" w:rsidRDefault="009014DA" w:rsidP="004211DE">
      <w:pPr>
        <w:pStyle w:val="Heading3"/>
      </w:pPr>
      <w:r w:rsidRPr="00155376">
        <w:t xml:space="preserve">Provide any other additional information you believe would be of value </w:t>
      </w:r>
      <w:r w:rsidR="00700F5D">
        <w:t xml:space="preserve">in </w:t>
      </w:r>
      <w:r w:rsidR="00D31585" w:rsidRPr="00D31585">
        <w:t>evaluating your firm’s ability to serve as bond counsel and/or disclosure counsel.</w:t>
      </w:r>
    </w:p>
    <w:p w14:paraId="371F4228" w14:textId="16A77B2B" w:rsidR="0012225F" w:rsidRPr="00155376" w:rsidRDefault="00795F3F" w:rsidP="0012225F">
      <w:pPr>
        <w:pStyle w:val="Heading1"/>
        <w:rPr>
          <w:rFonts w:ascii="Times New Roman" w:hAnsi="Times New Roman"/>
          <w:sz w:val="24"/>
          <w:szCs w:val="24"/>
        </w:rPr>
      </w:pPr>
      <w:bookmarkStart w:id="9" w:name="_Toc160719738"/>
      <w:r w:rsidRPr="00155376">
        <w:rPr>
          <w:rFonts w:ascii="Times New Roman" w:hAnsi="Times New Roman"/>
          <w:sz w:val="24"/>
          <w:szCs w:val="24"/>
        </w:rPr>
        <w:lastRenderedPageBreak/>
        <w:t>QUALIFYING CRITERIA</w:t>
      </w:r>
      <w:bookmarkEnd w:id="9"/>
    </w:p>
    <w:p w14:paraId="4539BAEB" w14:textId="77777777" w:rsidR="0012225F" w:rsidRPr="00155376" w:rsidRDefault="0012225F" w:rsidP="0012225F">
      <w:pPr>
        <w:rPr>
          <w:sz w:val="24"/>
          <w:szCs w:val="24"/>
        </w:rPr>
      </w:pPr>
    </w:p>
    <w:p w14:paraId="729CB1A1" w14:textId="12EE7D7F" w:rsidR="00266802" w:rsidRPr="00155376" w:rsidRDefault="00266802" w:rsidP="00516454">
      <w:pPr>
        <w:pStyle w:val="Heading2"/>
      </w:pPr>
      <w:proofErr w:type="gramStart"/>
      <w:r w:rsidRPr="00155376">
        <w:t>In order to</w:t>
      </w:r>
      <w:proofErr w:type="gramEnd"/>
      <w:r w:rsidRPr="00155376">
        <w:t xml:space="preserve"> be considered </w:t>
      </w:r>
      <w:r w:rsidR="007C041D" w:rsidRPr="007C041D">
        <w:t>as bond counsel and/or disclosure counsel for the State, prospective firms must demonstrate their ability to meet each of the following criteria throughout the term of any awarded contract</w:t>
      </w:r>
      <w:r w:rsidR="00EB080D">
        <w:t xml:space="preserve">. </w:t>
      </w:r>
      <w:r w:rsidR="00BA4056" w:rsidRPr="00155376">
        <w:t>Please</w:t>
      </w:r>
      <w:r w:rsidR="0046205A" w:rsidRPr="00155376">
        <w:t xml:space="preserve"> indicate if proposing firm agrees.</w:t>
      </w:r>
    </w:p>
    <w:p w14:paraId="005756C4" w14:textId="77777777" w:rsidR="00266802" w:rsidRPr="00155376" w:rsidRDefault="00266802" w:rsidP="00516454">
      <w:pPr>
        <w:pStyle w:val="Heading2"/>
        <w:numPr>
          <w:ilvl w:val="0"/>
          <w:numId w:val="0"/>
        </w:numPr>
        <w:ind w:left="720"/>
      </w:pPr>
    </w:p>
    <w:p w14:paraId="140E2780" w14:textId="4688D0D0" w:rsidR="00762DF8" w:rsidRDefault="00501115" w:rsidP="004211DE">
      <w:pPr>
        <w:pStyle w:val="Heading3"/>
      </w:pPr>
      <w:r w:rsidRPr="00155376">
        <w:t xml:space="preserve">The </w:t>
      </w:r>
      <w:r w:rsidR="00735813" w:rsidRPr="00735813">
        <w:t xml:space="preserve">firm must have experience with public financings of the State or comparable issuers and financings of similar size, types and </w:t>
      </w:r>
      <w:proofErr w:type="gramStart"/>
      <w:r w:rsidR="00735813" w:rsidRPr="00735813">
        <w:t>structures;</w:t>
      </w:r>
      <w:proofErr w:type="gramEnd"/>
    </w:p>
    <w:p w14:paraId="0D39A636" w14:textId="77777777" w:rsidR="00735813" w:rsidRPr="00155376" w:rsidRDefault="00735813" w:rsidP="004211DE">
      <w:pPr>
        <w:pStyle w:val="Heading3"/>
        <w:numPr>
          <w:ilvl w:val="0"/>
          <w:numId w:val="0"/>
        </w:numPr>
        <w:ind w:left="720"/>
      </w:pPr>
    </w:p>
    <w:p w14:paraId="4D4D2E9D" w14:textId="0B8D67DF" w:rsidR="006A0379" w:rsidRPr="00E52936" w:rsidRDefault="00266802" w:rsidP="004211DE">
      <w:pPr>
        <w:pStyle w:val="Heading3"/>
      </w:pPr>
      <w:r w:rsidRPr="00155376">
        <w:t xml:space="preserve">The </w:t>
      </w:r>
      <w:r w:rsidR="006A0379" w:rsidRPr="00E52936">
        <w:t>firm must be listed in the most recent edition of The Bond Buyer’s Municipal Marketplace, commonly referred to as the “Red Book</w:t>
      </w:r>
      <w:proofErr w:type="gramStart"/>
      <w:r w:rsidR="006A0379" w:rsidRPr="00E52936">
        <w:t>”;</w:t>
      </w:r>
      <w:proofErr w:type="gramEnd"/>
      <w:r w:rsidR="006A0379" w:rsidRPr="00E52936">
        <w:t xml:space="preserve"> </w:t>
      </w:r>
    </w:p>
    <w:p w14:paraId="1E8C963C" w14:textId="77777777" w:rsidR="00762DF8" w:rsidRPr="00155376" w:rsidRDefault="00762DF8" w:rsidP="004211DE">
      <w:pPr>
        <w:pStyle w:val="Heading3"/>
        <w:numPr>
          <w:ilvl w:val="0"/>
          <w:numId w:val="0"/>
        </w:numPr>
      </w:pPr>
    </w:p>
    <w:p w14:paraId="6E1411B7" w14:textId="1F7D5AC6" w:rsidR="007204F0" w:rsidRPr="006146DF" w:rsidRDefault="006146DF" w:rsidP="004211DE">
      <w:pPr>
        <w:pStyle w:val="Heading3"/>
      </w:pPr>
      <w:r w:rsidRPr="006146DF">
        <w:t xml:space="preserve">The </w:t>
      </w:r>
      <w:r w:rsidR="007204F0" w:rsidRPr="006146DF">
        <w:t xml:space="preserve">firm and each of the key personnel shall be duly qualified and licensed to provide bond counsel and/or disclosure counsel services in </w:t>
      </w:r>
      <w:proofErr w:type="gramStart"/>
      <w:r w:rsidR="007204F0" w:rsidRPr="006146DF">
        <w:t>Nevada;</w:t>
      </w:r>
      <w:proofErr w:type="gramEnd"/>
    </w:p>
    <w:p w14:paraId="29F34F6A" w14:textId="77777777" w:rsidR="008236A6" w:rsidRPr="00155376" w:rsidRDefault="008236A6" w:rsidP="004211DE">
      <w:pPr>
        <w:pStyle w:val="Heading3"/>
        <w:numPr>
          <w:ilvl w:val="0"/>
          <w:numId w:val="0"/>
        </w:numPr>
        <w:ind w:left="720"/>
      </w:pPr>
    </w:p>
    <w:p w14:paraId="104D5998" w14:textId="18995F97" w:rsidR="00762DF8" w:rsidRPr="00D274AA" w:rsidRDefault="00201F49" w:rsidP="004211DE">
      <w:pPr>
        <w:pStyle w:val="Heading3"/>
      </w:pPr>
      <w:r>
        <w:t xml:space="preserve">If </w:t>
      </w:r>
      <w:r w:rsidR="00D274AA" w:rsidRPr="00D274AA">
        <w:t xml:space="preserve">applying for bond counsel, the firm must have a minimum of five years of experience serving as bond counsel for municipal issuers, including state-level issuing authorities and has provided bond counsel services for at least three state or state-level securities issuances within the last </w:t>
      </w:r>
      <w:proofErr w:type="gramStart"/>
      <w:r w:rsidR="00D274AA" w:rsidRPr="00D274AA">
        <w:t>year;</w:t>
      </w:r>
      <w:proofErr w:type="gramEnd"/>
    </w:p>
    <w:p w14:paraId="2CB4DA6D" w14:textId="77777777" w:rsidR="00D274AA" w:rsidRPr="00155376" w:rsidRDefault="00D274AA" w:rsidP="004211DE">
      <w:pPr>
        <w:pStyle w:val="Heading3"/>
        <w:numPr>
          <w:ilvl w:val="0"/>
          <w:numId w:val="0"/>
        </w:numPr>
      </w:pPr>
    </w:p>
    <w:p w14:paraId="040C3449" w14:textId="69F65D3B" w:rsidR="00701400" w:rsidRDefault="00701400" w:rsidP="004211DE">
      <w:pPr>
        <w:pStyle w:val="Heading3"/>
      </w:pPr>
      <w:r w:rsidRPr="00701400">
        <w:t xml:space="preserve">If applying for disclosure counsel, the firm must have a minimum of five years of experience serving as disclosure counsel for municipal issuers, including state-level issuing authorities and has provided disclosure counsel services for at least three state or state-level securities issuances within the last </w:t>
      </w:r>
      <w:proofErr w:type="gramStart"/>
      <w:r w:rsidRPr="00701400">
        <w:t>year;</w:t>
      </w:r>
      <w:proofErr w:type="gramEnd"/>
    </w:p>
    <w:p w14:paraId="2AB518D2" w14:textId="77777777" w:rsidR="00BA0894" w:rsidRDefault="00BA0894" w:rsidP="00BA0894">
      <w:pPr>
        <w:pStyle w:val="ListParagraph"/>
      </w:pPr>
    </w:p>
    <w:p w14:paraId="272AA97E" w14:textId="597C1476" w:rsidR="00BA0894" w:rsidRDefault="00BA0894" w:rsidP="004211DE">
      <w:pPr>
        <w:pStyle w:val="Heading3"/>
      </w:pPr>
      <w:r w:rsidRPr="00BA0894">
        <w:t xml:space="preserve">The firm, including, without limitation, any member of the firm’s team, shall not be involved in litigation against the State nor have other engagements which, as determined by the Office in its sole discretion, would </w:t>
      </w:r>
      <w:proofErr w:type="gramStart"/>
      <w:r w:rsidRPr="00BA0894">
        <w:t>be in conflict with</w:t>
      </w:r>
      <w:proofErr w:type="gramEnd"/>
      <w:r w:rsidRPr="00BA0894">
        <w:t xml:space="preserve"> the interests of the State; and</w:t>
      </w:r>
    </w:p>
    <w:p w14:paraId="307728CB" w14:textId="77777777" w:rsidR="00BA0894" w:rsidRDefault="00BA0894" w:rsidP="00BA0894">
      <w:pPr>
        <w:pStyle w:val="ListParagraph"/>
      </w:pPr>
    </w:p>
    <w:p w14:paraId="1444DA4B" w14:textId="05265E8D" w:rsidR="00BA0894" w:rsidRDefault="00ED05A0" w:rsidP="004211DE">
      <w:pPr>
        <w:pStyle w:val="Heading3"/>
      </w:pPr>
      <w:r w:rsidRPr="00D52350">
        <w:t>Through</w:t>
      </w:r>
      <w:r w:rsidR="00D52350" w:rsidRPr="00D52350">
        <w:t xml:space="preserve"> </w:t>
      </w:r>
      <w:r w:rsidRPr="00D52350">
        <w:t xml:space="preserve">answers to the items </w:t>
      </w:r>
      <w:r w:rsidRPr="00700DCC">
        <w:t xml:space="preserve">listed in Section </w:t>
      </w:r>
      <w:r w:rsidR="00700DCC">
        <w:t xml:space="preserve">3.3 </w:t>
      </w:r>
      <w:r w:rsidRPr="00700DCC">
        <w:t>-</w:t>
      </w:r>
      <w:r w:rsidR="00700DCC">
        <w:t xml:space="preserve"> </w:t>
      </w:r>
      <w:r w:rsidRPr="00700DCC">
        <w:t>Substantive Scored Questions, each</w:t>
      </w:r>
      <w:r w:rsidRPr="00D52350">
        <w:t xml:space="preserve"> firm must demonstrate experience in advising governmental issuers in the aspects involved with the issuance of taxable and tax-exempt securities</w:t>
      </w:r>
      <w:r w:rsidRPr="006B5EDA">
        <w:t xml:space="preserve"> </w:t>
      </w:r>
      <w:r w:rsidRPr="00D52350">
        <w:t>as bond counsel and/or disclosure counsel.</w:t>
      </w:r>
    </w:p>
    <w:p w14:paraId="3B6B29AA" w14:textId="77777777" w:rsidR="00701400" w:rsidRDefault="00701400" w:rsidP="00701400">
      <w:pPr>
        <w:pStyle w:val="ListParagraph"/>
      </w:pPr>
    </w:p>
    <w:p w14:paraId="1290F3D7" w14:textId="239B1E50" w:rsidR="006C3136" w:rsidRPr="00155376" w:rsidRDefault="006C3136" w:rsidP="006C3136">
      <w:pPr>
        <w:pStyle w:val="Heading1"/>
        <w:rPr>
          <w:rFonts w:ascii="Times New Roman" w:hAnsi="Times New Roman"/>
          <w:sz w:val="24"/>
          <w:szCs w:val="24"/>
        </w:rPr>
      </w:pPr>
      <w:bookmarkStart w:id="10" w:name="_Toc160719739"/>
      <w:r w:rsidRPr="00155376">
        <w:rPr>
          <w:rFonts w:ascii="Times New Roman" w:hAnsi="Times New Roman"/>
          <w:sz w:val="24"/>
          <w:szCs w:val="24"/>
        </w:rPr>
        <w:t>CERTIFICATION</w:t>
      </w:r>
      <w:bookmarkEnd w:id="10"/>
    </w:p>
    <w:p w14:paraId="5DE73B75" w14:textId="77777777" w:rsidR="006C3136" w:rsidRPr="00155376" w:rsidRDefault="006C3136" w:rsidP="006C3136">
      <w:pPr>
        <w:rPr>
          <w:sz w:val="24"/>
          <w:szCs w:val="24"/>
        </w:rPr>
      </w:pPr>
    </w:p>
    <w:p w14:paraId="0AE0F07B" w14:textId="5AA6DCDD" w:rsidR="006C3136" w:rsidRPr="00155376" w:rsidRDefault="00516454" w:rsidP="00516454">
      <w:pPr>
        <w:pStyle w:val="Heading2"/>
      </w:pPr>
      <w:r w:rsidRPr="00155376">
        <w:t xml:space="preserve">By inclusion and execution of the statement </w:t>
      </w:r>
      <w:r w:rsidRPr="00D63A5A">
        <w:t>provided in</w:t>
      </w:r>
      <w:r w:rsidR="008C2CF2" w:rsidRPr="00D63A5A">
        <w:t xml:space="preserve"> Section 6.3.4</w:t>
      </w:r>
      <w:r w:rsidRPr="00D63A5A">
        <w:t xml:space="preserve"> </w:t>
      </w:r>
      <w:r w:rsidRPr="00D63A5A">
        <w:rPr>
          <w:i/>
          <w:u w:val="single"/>
        </w:rPr>
        <w:t>Attachment</w:t>
      </w:r>
      <w:r w:rsidR="00EB4735" w:rsidRPr="00D63A5A">
        <w:rPr>
          <w:i/>
          <w:u w:val="single"/>
        </w:rPr>
        <w:t xml:space="preserve">s </w:t>
      </w:r>
      <w:proofErr w:type="gramStart"/>
      <w:r w:rsidR="00EB4735" w:rsidRPr="00D63A5A">
        <w:rPr>
          <w:i/>
          <w:u w:val="single"/>
        </w:rPr>
        <w:t>For</w:t>
      </w:r>
      <w:proofErr w:type="gramEnd"/>
      <w:r w:rsidR="00EB4735" w:rsidRPr="00D63A5A">
        <w:rPr>
          <w:i/>
          <w:u w:val="single"/>
        </w:rPr>
        <w:t xml:space="preserve"> Signature </w:t>
      </w:r>
      <w:r w:rsidRPr="00D63A5A">
        <w:rPr>
          <w:i/>
          <w:u w:val="single"/>
        </w:rPr>
        <w:t>-</w:t>
      </w:r>
      <w:r w:rsidR="00EB4735" w:rsidRPr="00D63A5A">
        <w:rPr>
          <w:i/>
          <w:u w:val="single"/>
        </w:rPr>
        <w:t xml:space="preserve"> Vendor</w:t>
      </w:r>
      <w:r w:rsidRPr="00D63A5A">
        <w:rPr>
          <w:i/>
          <w:u w:val="single"/>
        </w:rPr>
        <w:t xml:space="preserve"> Certifications</w:t>
      </w:r>
      <w:r w:rsidRPr="00D63A5A">
        <w:t>, each Respondent certifies that:</w:t>
      </w:r>
    </w:p>
    <w:p w14:paraId="727648F1" w14:textId="77777777" w:rsidR="006C3136" w:rsidRPr="00155376" w:rsidRDefault="006C3136" w:rsidP="006C3136">
      <w:pPr>
        <w:rPr>
          <w:sz w:val="24"/>
          <w:szCs w:val="24"/>
        </w:rPr>
      </w:pPr>
    </w:p>
    <w:p w14:paraId="3ED93079" w14:textId="54DD0DB7" w:rsidR="006C3136" w:rsidRPr="00155376" w:rsidRDefault="00617D9C" w:rsidP="004211DE">
      <w:pPr>
        <w:pStyle w:val="Heading3"/>
      </w:pPr>
      <w:r w:rsidRPr="00155376">
        <w:t xml:space="preserve">The firm </w:t>
      </w:r>
      <w:r w:rsidRPr="00B600E8">
        <w:t xml:space="preserve">complies with </w:t>
      </w:r>
      <w:r w:rsidRPr="00B600E8">
        <w:rPr>
          <w:i/>
          <w:u w:val="single"/>
        </w:rPr>
        <w:t xml:space="preserve">Section </w:t>
      </w:r>
      <w:r w:rsidR="00906C02" w:rsidRPr="00B600E8">
        <w:rPr>
          <w:i/>
          <w:u w:val="single"/>
        </w:rPr>
        <w:t>4</w:t>
      </w:r>
      <w:r w:rsidRPr="00B600E8">
        <w:rPr>
          <w:i/>
          <w:u w:val="single"/>
        </w:rPr>
        <w:t>-Qualifying Criteria</w:t>
      </w:r>
      <w:r w:rsidRPr="00B600E8">
        <w:t xml:space="preserve"> subsections </w:t>
      </w:r>
      <w:r w:rsidR="00906C02" w:rsidRPr="00B600E8">
        <w:t>4</w:t>
      </w:r>
      <w:r w:rsidRPr="00B600E8">
        <w:t xml:space="preserve">.1 through and inclusive of </w:t>
      </w:r>
      <w:r w:rsidR="00906C02" w:rsidRPr="00B600E8">
        <w:t>4</w:t>
      </w:r>
      <w:r w:rsidRPr="00B600E8">
        <w:t>.</w:t>
      </w:r>
      <w:r w:rsidR="00B600E8" w:rsidRPr="00B600E8">
        <w:t>1.</w:t>
      </w:r>
      <w:r w:rsidR="00FB2E4A">
        <w:t>7</w:t>
      </w:r>
      <w:r w:rsidRPr="00B600E8">
        <w:t xml:space="preserve"> of this </w:t>
      </w:r>
      <w:proofErr w:type="gramStart"/>
      <w:r w:rsidRPr="00B600E8">
        <w:t>solicitation;</w:t>
      </w:r>
      <w:proofErr w:type="gramEnd"/>
    </w:p>
    <w:p w14:paraId="388D5844" w14:textId="77777777" w:rsidR="009F7DB1" w:rsidRPr="00155376" w:rsidRDefault="009F7DB1" w:rsidP="004211DE">
      <w:pPr>
        <w:pStyle w:val="Heading3"/>
        <w:numPr>
          <w:ilvl w:val="0"/>
          <w:numId w:val="0"/>
        </w:numPr>
        <w:ind w:left="720"/>
      </w:pPr>
    </w:p>
    <w:p w14:paraId="5BAD4AF7" w14:textId="2221CE55" w:rsidR="009F7DB1" w:rsidRPr="00155376" w:rsidRDefault="009F7DB1" w:rsidP="004211DE">
      <w:pPr>
        <w:pStyle w:val="Heading3"/>
      </w:pPr>
      <w:r w:rsidRPr="00155376">
        <w:t xml:space="preserve">The vendor and each of the key personnel shall be duly qualified and licensed (as appropriate) to provide municipal advisory services in Nevada. Should the professional status of the firm or any listed Key Personnel change, the Office shall be notified as soon as possible but, in all cases, no later than within thirty days of their </w:t>
      </w:r>
      <w:proofErr w:type="gramStart"/>
      <w:r w:rsidRPr="00155376">
        <w:t>occurrence;</w:t>
      </w:r>
      <w:proofErr w:type="gramEnd"/>
    </w:p>
    <w:p w14:paraId="0A919479" w14:textId="77777777" w:rsidR="005D6B73" w:rsidRPr="00155376" w:rsidRDefault="005D6B73" w:rsidP="005D6B73">
      <w:pPr>
        <w:pStyle w:val="ListParagraph"/>
        <w:rPr>
          <w:rFonts w:ascii="Times New Roman" w:hAnsi="Times New Roman"/>
        </w:rPr>
      </w:pPr>
    </w:p>
    <w:p w14:paraId="3BE63BD1" w14:textId="770F4560" w:rsidR="005D6B73" w:rsidRPr="00155376" w:rsidRDefault="005D6B73" w:rsidP="004211DE">
      <w:pPr>
        <w:pStyle w:val="Heading3"/>
      </w:pPr>
      <w:r w:rsidRPr="00155376">
        <w:t xml:space="preserve">The selection of the firm will not result in any current or potential, real or perceived conflict of interest.  Alternately, should any potential or existing conflict be known by the firm, the Respondent shall specify </w:t>
      </w:r>
      <w:r w:rsidR="00F35465">
        <w:t>below</w:t>
      </w:r>
      <w:r w:rsidR="0097129C">
        <w:t>;</w:t>
      </w:r>
      <w:r w:rsidRPr="00155376">
        <w:t xml:space="preserve"> the party with whom the conflict exists or might arise, the nature of the conflict and whether the firm would step aside or resign from that engagement or representation creating the </w:t>
      </w:r>
      <w:proofErr w:type="gramStart"/>
      <w:r w:rsidRPr="00155376">
        <w:t>conflict;</w:t>
      </w:r>
      <w:proofErr w:type="gramEnd"/>
    </w:p>
    <w:p w14:paraId="5CE95D75" w14:textId="1D3846FC" w:rsidR="007840FF" w:rsidRDefault="004645F7" w:rsidP="004211DE">
      <w:pPr>
        <w:pStyle w:val="Heading3"/>
      </w:pPr>
      <w:r w:rsidRPr="004645F7">
        <w:lastRenderedPageBreak/>
        <w:t xml:space="preserve">The </w:t>
      </w:r>
      <w:r w:rsidR="00AD533D" w:rsidRPr="004645F7">
        <w:t xml:space="preserve">attorneys listed to perform the work in this engagement are all in good standing with their respective bars and shall endeavor to maintain such standing for the duration of the appointment.  Should the professional status of any of the listed attorneys change, the Office shall be notified as soon as possible </w:t>
      </w:r>
      <w:proofErr w:type="gramStart"/>
      <w:r w:rsidR="00AD533D" w:rsidRPr="004645F7">
        <w:t>but in all cases</w:t>
      </w:r>
      <w:proofErr w:type="gramEnd"/>
      <w:r w:rsidR="00AD533D" w:rsidRPr="004645F7">
        <w:t xml:space="preserve"> no later than within thirty days of their occurrence;</w:t>
      </w:r>
    </w:p>
    <w:p w14:paraId="3C213FEF" w14:textId="77777777" w:rsidR="00AD533D" w:rsidRPr="00155376" w:rsidRDefault="00AD533D" w:rsidP="00941A89">
      <w:pPr>
        <w:pStyle w:val="Heading3"/>
        <w:numPr>
          <w:ilvl w:val="0"/>
          <w:numId w:val="0"/>
        </w:numPr>
      </w:pPr>
    </w:p>
    <w:p w14:paraId="7FB32C50" w14:textId="007C68E4" w:rsidR="007840FF" w:rsidRDefault="007840FF" w:rsidP="004211DE">
      <w:pPr>
        <w:pStyle w:val="Heading3"/>
      </w:pPr>
      <w:r w:rsidRPr="00155376">
        <w:t xml:space="preserve">The proposal is made without prior understanding, agreement, or connection with any corporation, firm, or person submitting a proposal for the same services, and is in all respects fair and without collusion or </w:t>
      </w:r>
      <w:proofErr w:type="gramStart"/>
      <w:r w:rsidRPr="00155376">
        <w:t>fraud;</w:t>
      </w:r>
      <w:proofErr w:type="gramEnd"/>
    </w:p>
    <w:p w14:paraId="3B19B170" w14:textId="77777777" w:rsidR="003F4392" w:rsidRDefault="003F4392" w:rsidP="003F4392">
      <w:pPr>
        <w:pStyle w:val="ListParagraph"/>
      </w:pPr>
    </w:p>
    <w:p w14:paraId="7E23B668" w14:textId="28947342" w:rsidR="003F4392" w:rsidRPr="00155376" w:rsidRDefault="00DC5DAD" w:rsidP="004211DE">
      <w:pPr>
        <w:pStyle w:val="Heading3"/>
      </w:pPr>
      <w:r w:rsidRPr="00DC5DAD">
        <w:t xml:space="preserve">The </w:t>
      </w:r>
      <w:r w:rsidR="003F4392" w:rsidRPr="00DC5DAD">
        <w:t xml:space="preserve">firm agrees, whether expressly prohibited by federal law, or otherwise, that no funding associated with this contract will be used for any purpose associated with or related to lobbying or influencing or attempting to lobby or influence for any purpose: (a) any federal, state, county or local agency, legislature, commission, </w:t>
      </w:r>
      <w:proofErr w:type="spellStart"/>
      <w:r w:rsidR="003F4392" w:rsidRPr="00DC5DAD">
        <w:t>counsel or</w:t>
      </w:r>
      <w:proofErr w:type="spellEnd"/>
      <w:r w:rsidR="003F4392" w:rsidRPr="00DC5DAD">
        <w:t xml:space="preserve"> board; (b) any federal, state, county or local legislator, commission member, counsel member, board member, or other elected official; or (c) any officer or employee of any federal, state, county or local agency; legislature, commission, </w:t>
      </w:r>
      <w:proofErr w:type="spellStart"/>
      <w:r w:rsidR="003F4392" w:rsidRPr="00DC5DAD">
        <w:t>counsel or</w:t>
      </w:r>
      <w:proofErr w:type="spellEnd"/>
      <w:r w:rsidR="003F4392" w:rsidRPr="00DC5DAD">
        <w:t xml:space="preserve"> board;</w:t>
      </w:r>
    </w:p>
    <w:p w14:paraId="17B7FEF6" w14:textId="77777777" w:rsidR="007840FF" w:rsidRPr="00155376" w:rsidRDefault="007840FF" w:rsidP="004211DE">
      <w:pPr>
        <w:pStyle w:val="Heading3"/>
        <w:numPr>
          <w:ilvl w:val="0"/>
          <w:numId w:val="0"/>
        </w:numPr>
        <w:ind w:left="720"/>
      </w:pPr>
    </w:p>
    <w:p w14:paraId="08BCEDA0" w14:textId="36209D6C" w:rsidR="007840FF" w:rsidRPr="00155376" w:rsidRDefault="007840FF" w:rsidP="004211DE">
      <w:pPr>
        <w:pStyle w:val="Heading3"/>
      </w:pPr>
      <w:r w:rsidRPr="00155376">
        <w:t xml:space="preserve">Selected firms will notify the Office in writing of material changes in ownership, organization, personnel, litigation or conflicts, or any other material changes or developments, as soon as possible but, in all cases, no later than thirty days of their </w:t>
      </w:r>
      <w:proofErr w:type="gramStart"/>
      <w:r w:rsidRPr="00155376">
        <w:t>occurrence;</w:t>
      </w:r>
      <w:proofErr w:type="gramEnd"/>
    </w:p>
    <w:p w14:paraId="52F4C6D3" w14:textId="7743106F" w:rsidR="007840FF" w:rsidRPr="00155376" w:rsidRDefault="007840FF" w:rsidP="004211DE">
      <w:pPr>
        <w:pStyle w:val="Heading3"/>
        <w:numPr>
          <w:ilvl w:val="0"/>
          <w:numId w:val="0"/>
        </w:numPr>
        <w:ind w:left="720"/>
      </w:pPr>
    </w:p>
    <w:p w14:paraId="160C64E7" w14:textId="3EC4D25D" w:rsidR="007840FF" w:rsidRPr="00155376" w:rsidRDefault="007840FF" w:rsidP="004211DE">
      <w:pPr>
        <w:pStyle w:val="Heading3"/>
      </w:pPr>
      <w:r w:rsidRPr="00155376">
        <w:t xml:space="preserve">Firm acknowledge receipt of </w:t>
      </w:r>
      <w:r w:rsidR="00C76753">
        <w:t xml:space="preserve">the </w:t>
      </w:r>
      <w:r w:rsidRPr="00155376">
        <w:t xml:space="preserve">State of Nevada Board of Finance and State Treasurer Debt Management Policy </w:t>
      </w:r>
      <w:r w:rsidR="00FA0370">
        <w:t>(</w:t>
      </w:r>
      <w:hyperlink r:id="rId13" w:history="1">
        <w:r w:rsidR="00FA0370">
          <w:rPr>
            <w:rStyle w:val="Hyperlink"/>
          </w:rPr>
          <w:t>Debt Management Policy-Feb 2024.pdf (nevadatreasurer.gov)</w:t>
        </w:r>
      </w:hyperlink>
      <w:r w:rsidR="00FA0370">
        <w:t xml:space="preserve">) </w:t>
      </w:r>
      <w:r w:rsidRPr="00155376">
        <w:t>and accordingly, accepts responsibility for complying with these written policies and procedures and agrees to comply with any future revisions when notified by the Office.</w:t>
      </w:r>
    </w:p>
    <w:p w14:paraId="18A17C2F" w14:textId="77777777" w:rsidR="00463503" w:rsidRPr="00155376" w:rsidRDefault="00463503" w:rsidP="00463503">
      <w:pPr>
        <w:pStyle w:val="ListParagraph"/>
        <w:rPr>
          <w:rFonts w:ascii="Times New Roman" w:hAnsi="Times New Roman"/>
        </w:rPr>
      </w:pPr>
    </w:p>
    <w:p w14:paraId="5F05A231" w14:textId="77777777" w:rsidR="00AA4EE7" w:rsidRPr="00155376" w:rsidRDefault="00463503" w:rsidP="004211DE">
      <w:pPr>
        <w:pStyle w:val="Heading3"/>
      </w:pPr>
      <w:r w:rsidRPr="00155376">
        <w:t xml:space="preserve">The firm (and the agents, officers, principals and professional employees thereof) has not and will not participate in any prohibited business solicitation </w:t>
      </w:r>
      <w:proofErr w:type="gramStart"/>
      <w:r w:rsidRPr="00155376">
        <w:t>communication;</w:t>
      </w:r>
      <w:proofErr w:type="gramEnd"/>
      <w:r w:rsidRPr="00155376">
        <w:t xml:space="preserve"> </w:t>
      </w:r>
    </w:p>
    <w:p w14:paraId="291C0239" w14:textId="77777777" w:rsidR="00B075C4" w:rsidRDefault="00B075C4" w:rsidP="004211DE">
      <w:pPr>
        <w:pStyle w:val="Heading3"/>
        <w:numPr>
          <w:ilvl w:val="0"/>
          <w:numId w:val="0"/>
        </w:numPr>
        <w:ind w:left="1440"/>
      </w:pPr>
    </w:p>
    <w:p w14:paraId="5E0C5438" w14:textId="2FF60E81" w:rsidR="00463503" w:rsidRPr="00155376" w:rsidRDefault="00297A2B" w:rsidP="004211DE">
      <w:pPr>
        <w:pStyle w:val="Heading3"/>
        <w:numPr>
          <w:ilvl w:val="0"/>
          <w:numId w:val="0"/>
        </w:numPr>
        <w:ind w:left="1440"/>
      </w:pPr>
      <w:r>
        <w:t>*</w:t>
      </w:r>
      <w:r w:rsidRPr="10F386C1">
        <w:t xml:space="preserve">*“Prohibited business solicitation communication” means a written or verbal communication which occurs during a selection period between an Office employee and any person or entity submitting a proposal for </w:t>
      </w:r>
      <w:r w:rsidR="00A243DC">
        <w:t>bond counsel and/or disclosure counsel</w:t>
      </w:r>
      <w:r w:rsidRPr="10F386C1">
        <w:t xml:space="preserve"> services…or between a State employee and a person who is not a State employee regarding the merits of any </w:t>
      </w:r>
      <w:r w:rsidR="00A97A20">
        <w:t>bond counsel and/or disclosure counsel</w:t>
      </w:r>
      <w:r w:rsidRPr="10F386C1">
        <w:t xml:space="preserve"> services … or whether the evaluating committee should elect or retain the </w:t>
      </w:r>
      <w:r w:rsidR="003D0266">
        <w:t>bond counsel and/or disclosure counsel</w:t>
      </w:r>
      <w:r w:rsidRPr="10F386C1">
        <w:t xml:space="preserve"> services … “with certain exceptions”.  The “selection period” for this solicitation </w:t>
      </w:r>
      <w:r w:rsidRPr="00202B6D">
        <w:t xml:space="preserve">begins </w:t>
      </w:r>
      <w:r w:rsidR="00DF077A" w:rsidRPr="00202B6D">
        <w:t>May</w:t>
      </w:r>
      <w:r w:rsidRPr="00202B6D">
        <w:t xml:space="preserve"> 1</w:t>
      </w:r>
      <w:r w:rsidR="00DF077A" w:rsidRPr="00202B6D">
        <w:t>0</w:t>
      </w:r>
      <w:r w:rsidRPr="00202B6D">
        <w:t xml:space="preserve">, </w:t>
      </w:r>
      <w:proofErr w:type="gramStart"/>
      <w:r w:rsidRPr="00202B6D">
        <w:t>20</w:t>
      </w:r>
      <w:r w:rsidR="00DF077A" w:rsidRPr="00202B6D">
        <w:t>24</w:t>
      </w:r>
      <w:proofErr w:type="gramEnd"/>
      <w:r w:rsidRPr="00202B6D">
        <w:t xml:space="preserve"> and will continue until the Office selects its Pool of firms on or about </w:t>
      </w:r>
      <w:r w:rsidR="00E35239" w:rsidRPr="00202B6D">
        <w:t>May</w:t>
      </w:r>
      <w:r w:rsidRPr="00202B6D">
        <w:t xml:space="preserve"> </w:t>
      </w:r>
      <w:r w:rsidR="00202B6D" w:rsidRPr="00202B6D">
        <w:t>31</w:t>
      </w:r>
      <w:r w:rsidRPr="00202B6D">
        <w:t>, 20</w:t>
      </w:r>
      <w:r w:rsidR="00202B6D" w:rsidRPr="00202B6D">
        <w:t>24</w:t>
      </w:r>
      <w:r w:rsidRPr="10F386C1">
        <w:t>.</w:t>
      </w:r>
    </w:p>
    <w:p w14:paraId="2D010C9A" w14:textId="77777777" w:rsidR="00463503" w:rsidRPr="00155376" w:rsidRDefault="00463503" w:rsidP="00463503">
      <w:pPr>
        <w:pStyle w:val="ListParagraph"/>
        <w:rPr>
          <w:rFonts w:ascii="Times New Roman" w:hAnsi="Times New Roman"/>
        </w:rPr>
      </w:pPr>
    </w:p>
    <w:p w14:paraId="370C367C" w14:textId="5704B1CB" w:rsidR="00463503" w:rsidRPr="00155376" w:rsidRDefault="00463503" w:rsidP="004211DE">
      <w:pPr>
        <w:pStyle w:val="Heading3"/>
      </w:pPr>
      <w:r w:rsidRPr="00155376">
        <w:t xml:space="preserve">If applicable and pursuant to NRS §80.010, unless specifically exempted by NRS §80.015, and prior to commencing any work under a contract resulting from firm’s selection as </w:t>
      </w:r>
      <w:r w:rsidR="00D46EE0">
        <w:t xml:space="preserve">bond </w:t>
      </w:r>
      <w:r w:rsidR="003379A8">
        <w:t xml:space="preserve">counsel </w:t>
      </w:r>
      <w:r w:rsidR="00D46EE0">
        <w:t>and/or</w:t>
      </w:r>
      <w:r w:rsidR="003379A8">
        <w:t xml:space="preserve"> disclosure counsel</w:t>
      </w:r>
      <w:r w:rsidR="00D46EE0">
        <w:t xml:space="preserve"> </w:t>
      </w:r>
      <w:r w:rsidRPr="00155376">
        <w:t xml:space="preserve">,  firm will register with the State of Nevada, Secretary of State’s Office as a foreign corporation and obtain any required business license from the Office of the Secretary of State pursuant to NRS §76 (Information regarding the Nevada Business License can be located at </w:t>
      </w:r>
      <w:hyperlink r:id="rId14" w:history="1">
        <w:r w:rsidRPr="00155376">
          <w:rPr>
            <w:color w:val="0000FF"/>
            <w:u w:val="single"/>
          </w:rPr>
          <w:t>http://nvsos.gov</w:t>
        </w:r>
      </w:hyperlink>
      <w:r w:rsidRPr="00155376">
        <w:t xml:space="preserve">); </w:t>
      </w:r>
    </w:p>
    <w:p w14:paraId="49787114" w14:textId="77777777" w:rsidR="000B07CC" w:rsidRPr="00155376" w:rsidRDefault="000B07CC" w:rsidP="004211DE">
      <w:pPr>
        <w:pStyle w:val="Heading3"/>
        <w:numPr>
          <w:ilvl w:val="0"/>
          <w:numId w:val="0"/>
        </w:numPr>
        <w:ind w:left="720"/>
      </w:pPr>
    </w:p>
    <w:p w14:paraId="225760B2" w14:textId="59374668" w:rsidR="00463503" w:rsidRPr="00155376" w:rsidRDefault="00463503" w:rsidP="004211DE">
      <w:pPr>
        <w:pStyle w:val="Heading3"/>
      </w:pPr>
      <w:r w:rsidRPr="00155376">
        <w:t xml:space="preserve">Prior to commencing any work under a contract resulting from firm’s selection as </w:t>
      </w:r>
      <w:r w:rsidR="0083016B">
        <w:t>bond counsel and/or disclosure counsel</w:t>
      </w:r>
      <w:r w:rsidRPr="00155376">
        <w:t xml:space="preserve">, the successful firm must provide the Certificate of Insurance identifying the coverages as specified in </w:t>
      </w:r>
      <w:r w:rsidRPr="00155376">
        <w:rPr>
          <w:i/>
          <w:u w:val="single"/>
        </w:rPr>
        <w:t xml:space="preserve">Attachment </w:t>
      </w:r>
      <w:r w:rsidR="00DD7168">
        <w:rPr>
          <w:i/>
          <w:u w:val="single"/>
        </w:rPr>
        <w:t>6.2.2</w:t>
      </w:r>
      <w:r w:rsidRPr="00155376">
        <w:rPr>
          <w:i/>
          <w:u w:val="single"/>
        </w:rPr>
        <w:t>-Insurance Schedule for Solicitation</w:t>
      </w:r>
      <w:r w:rsidRPr="00155376">
        <w:t>, or coverage agreed to by the State; and</w:t>
      </w:r>
    </w:p>
    <w:p w14:paraId="6CE60B09" w14:textId="186792D9" w:rsidR="00463503" w:rsidRPr="00155376" w:rsidRDefault="00463503" w:rsidP="004211DE">
      <w:pPr>
        <w:pStyle w:val="Heading3"/>
      </w:pPr>
      <w:r w:rsidRPr="00155376">
        <w:lastRenderedPageBreak/>
        <w:t xml:space="preserve">The person authorized to sign this proposal for the firm </w:t>
      </w:r>
      <w:proofErr w:type="gramStart"/>
      <w:r w:rsidRPr="00155376">
        <w:t>is in compliance with</w:t>
      </w:r>
      <w:proofErr w:type="gramEnd"/>
      <w:r w:rsidRPr="00155376">
        <w:t xml:space="preserve"> all requirements of this solicitation and certifies all the information provided in this proposal is true and correct.</w:t>
      </w:r>
    </w:p>
    <w:p w14:paraId="0D7A5F3C" w14:textId="77777777" w:rsidR="006C3136" w:rsidRPr="00155376" w:rsidRDefault="006C3136" w:rsidP="00C371BD">
      <w:pPr>
        <w:rPr>
          <w:sz w:val="24"/>
          <w:szCs w:val="24"/>
        </w:rPr>
      </w:pPr>
    </w:p>
    <w:p w14:paraId="1764AA9F" w14:textId="77777777" w:rsidR="00104A2B" w:rsidRPr="00155376" w:rsidRDefault="00104A2B" w:rsidP="00A33A03">
      <w:pPr>
        <w:pStyle w:val="Heading1"/>
        <w:rPr>
          <w:rFonts w:ascii="Times New Roman" w:hAnsi="Times New Roman"/>
          <w:sz w:val="24"/>
          <w:szCs w:val="24"/>
        </w:rPr>
      </w:pPr>
      <w:bookmarkStart w:id="11" w:name="_Toc70363822"/>
      <w:bookmarkStart w:id="12" w:name="_Toc70367357"/>
      <w:bookmarkStart w:id="13" w:name="_Toc160719740"/>
      <w:bookmarkStart w:id="14" w:name="_Toc31721213"/>
      <w:bookmarkStart w:id="15" w:name="_Toc64377102"/>
      <w:bookmarkStart w:id="16" w:name="_Toc64991541"/>
      <w:bookmarkStart w:id="17" w:name="_Toc65138426"/>
      <w:bookmarkStart w:id="18" w:name="_Toc66176034"/>
      <w:bookmarkStart w:id="19" w:name="_Toc70363819"/>
      <w:bookmarkStart w:id="20" w:name="_Toc70367354"/>
      <w:bookmarkStart w:id="21" w:name="_Toc70363817"/>
      <w:bookmarkStart w:id="22" w:name="_Toc70367352"/>
      <w:r w:rsidRPr="00155376">
        <w:rPr>
          <w:rFonts w:ascii="Times New Roman" w:hAnsi="Times New Roman"/>
          <w:sz w:val="24"/>
          <w:szCs w:val="24"/>
        </w:rPr>
        <w:t>ATTACHMENTS</w:t>
      </w:r>
      <w:bookmarkEnd w:id="11"/>
      <w:bookmarkEnd w:id="12"/>
      <w:bookmarkEnd w:id="13"/>
    </w:p>
    <w:p w14:paraId="0BF2644A" w14:textId="77777777" w:rsidR="00104A2B" w:rsidRPr="00155376" w:rsidRDefault="00104A2B" w:rsidP="00104A2B">
      <w:pPr>
        <w:rPr>
          <w:sz w:val="24"/>
          <w:szCs w:val="24"/>
        </w:rPr>
      </w:pPr>
    </w:p>
    <w:p w14:paraId="6CFE2C25" w14:textId="6C23CCFA" w:rsidR="00104A2B" w:rsidRPr="00155376" w:rsidRDefault="009F518D" w:rsidP="00516454">
      <w:pPr>
        <w:pStyle w:val="Heading2"/>
      </w:pPr>
      <w:r w:rsidRPr="00155376">
        <w:t>AT</w:t>
      </w:r>
      <w:r w:rsidR="00104A2B" w:rsidRPr="00155376">
        <w:t>TACHMENTS</w:t>
      </w:r>
      <w:r w:rsidRPr="00155376">
        <w:t xml:space="preserve"> INCORPORATED BY REFERENCE</w:t>
      </w:r>
      <w:r w:rsidR="009E1A18" w:rsidRPr="00155376">
        <w:t>. To be read and not returned.</w:t>
      </w:r>
    </w:p>
    <w:p w14:paraId="3B046B24" w14:textId="48F6DDA6" w:rsidR="00104A2B" w:rsidRPr="00155376" w:rsidRDefault="00104A2B" w:rsidP="004211DE">
      <w:pPr>
        <w:pStyle w:val="Heading3"/>
      </w:pPr>
      <w:r w:rsidRPr="00155376">
        <w:t>Terms and Conditions for Services</w:t>
      </w:r>
    </w:p>
    <w:p w14:paraId="64A500C1" w14:textId="345E6BEE" w:rsidR="009F518D" w:rsidRDefault="00112CA6" w:rsidP="0094603F">
      <w:pPr>
        <w:ind w:left="720"/>
        <w:rPr>
          <w:sz w:val="24"/>
          <w:szCs w:val="24"/>
        </w:rPr>
      </w:pPr>
      <w:r>
        <w:rPr>
          <w:sz w:val="24"/>
          <w:szCs w:val="24"/>
        </w:rPr>
        <w:object w:dxaOrig="1538" w:dyaOrig="994" w14:anchorId="6CF25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Acrobat.Document.DC" ShapeID="_x0000_i1025" DrawAspect="Icon" ObjectID="_1771744304" r:id="rId16"/>
        </w:object>
      </w:r>
    </w:p>
    <w:p w14:paraId="5591483E" w14:textId="77777777" w:rsidR="0094603F" w:rsidRPr="00155376" w:rsidRDefault="0094603F" w:rsidP="0094603F">
      <w:pPr>
        <w:ind w:left="720"/>
        <w:rPr>
          <w:sz w:val="24"/>
          <w:szCs w:val="24"/>
        </w:rPr>
      </w:pPr>
    </w:p>
    <w:p w14:paraId="06C9698B" w14:textId="745E2118" w:rsidR="009F518D" w:rsidRPr="00155376" w:rsidRDefault="009F518D" w:rsidP="00516454">
      <w:pPr>
        <w:pStyle w:val="Heading2"/>
      </w:pPr>
      <w:r w:rsidRPr="00155376">
        <w:t>ATTACHMENTS FOR REVIEW. To be read and not returned.</w:t>
      </w:r>
    </w:p>
    <w:p w14:paraId="13AC9B5C" w14:textId="320975BF" w:rsidR="00104A2B" w:rsidRPr="00AE5E68" w:rsidRDefault="00104A2B" w:rsidP="004211DE">
      <w:pPr>
        <w:pStyle w:val="Heading3"/>
      </w:pPr>
      <w:r w:rsidRPr="00AE5E68">
        <w:t>Contract Form</w:t>
      </w:r>
    </w:p>
    <w:p w14:paraId="4DABE879" w14:textId="786D2BCE" w:rsidR="00450E6F" w:rsidRDefault="0094603F" w:rsidP="004211DE">
      <w:pPr>
        <w:pStyle w:val="Heading3"/>
        <w:numPr>
          <w:ilvl w:val="0"/>
          <w:numId w:val="0"/>
        </w:numPr>
        <w:ind w:left="720"/>
      </w:pPr>
      <w:r>
        <w:object w:dxaOrig="1538" w:dyaOrig="994" w14:anchorId="0F3675A6">
          <v:shape id="_x0000_i1026" type="#_x0000_t75" style="width:77.25pt;height:49.5pt" o:ole="">
            <v:imagedata r:id="rId17" o:title=""/>
          </v:shape>
          <o:OLEObject Type="Embed" ProgID="Acrobat.Document.DC" ShapeID="_x0000_i1026" DrawAspect="Icon" ObjectID="_1771744305" r:id="rId18"/>
        </w:object>
      </w:r>
    </w:p>
    <w:p w14:paraId="79349138" w14:textId="77777777" w:rsidR="00BC4016" w:rsidRDefault="00BC4016" w:rsidP="004211DE">
      <w:pPr>
        <w:pStyle w:val="Heading3"/>
        <w:numPr>
          <w:ilvl w:val="0"/>
          <w:numId w:val="0"/>
        </w:numPr>
        <w:ind w:left="720"/>
      </w:pPr>
    </w:p>
    <w:p w14:paraId="5FD0C142" w14:textId="77777777" w:rsidR="00104A2B" w:rsidRPr="00155376" w:rsidRDefault="00104A2B" w:rsidP="004211DE">
      <w:pPr>
        <w:pStyle w:val="Heading3"/>
      </w:pPr>
      <w:r w:rsidRPr="00155376">
        <w:t>Insurance Schedule</w:t>
      </w:r>
    </w:p>
    <w:p w14:paraId="56CA6A4C" w14:textId="527A7E64" w:rsidR="00104A2B" w:rsidRDefault="0094603F" w:rsidP="00AB777B">
      <w:pPr>
        <w:ind w:firstLine="720"/>
        <w:rPr>
          <w:sz w:val="24"/>
          <w:szCs w:val="24"/>
        </w:rPr>
      </w:pPr>
      <w:r>
        <w:rPr>
          <w:sz w:val="24"/>
          <w:szCs w:val="24"/>
        </w:rPr>
        <w:object w:dxaOrig="1538" w:dyaOrig="994" w14:anchorId="404FA921">
          <v:shape id="_x0000_i1027" type="#_x0000_t75" style="width:77.25pt;height:49.5pt" o:ole="">
            <v:imagedata r:id="rId19" o:title=""/>
          </v:shape>
          <o:OLEObject Type="Embed" ProgID="Acrobat.Document.DC" ShapeID="_x0000_i1027" DrawAspect="Icon" ObjectID="_1771744306" r:id="rId20"/>
        </w:object>
      </w:r>
    </w:p>
    <w:p w14:paraId="4BB551D0" w14:textId="77777777" w:rsidR="0094603F" w:rsidRPr="00155376" w:rsidRDefault="0094603F" w:rsidP="00104A2B">
      <w:pPr>
        <w:rPr>
          <w:sz w:val="24"/>
          <w:szCs w:val="24"/>
        </w:rPr>
      </w:pPr>
    </w:p>
    <w:p w14:paraId="2E5CD913" w14:textId="278E4640" w:rsidR="00104A2B" w:rsidRPr="00155376" w:rsidRDefault="00104A2B" w:rsidP="00516454">
      <w:pPr>
        <w:pStyle w:val="Heading2"/>
      </w:pPr>
      <w:r w:rsidRPr="00155376">
        <w:t>PROPOSAL ATTACHMENTS. To be completed and returned</w:t>
      </w:r>
      <w:r w:rsidR="00BC6C13" w:rsidRPr="00155376">
        <w:t xml:space="preserve"> in proposal</w:t>
      </w:r>
      <w:r w:rsidRPr="00155376">
        <w:t>.</w:t>
      </w:r>
    </w:p>
    <w:p w14:paraId="2E7FD3CE" w14:textId="3FD51B02" w:rsidR="00307E07" w:rsidRPr="00044937" w:rsidRDefault="00307E07" w:rsidP="004211DE">
      <w:pPr>
        <w:pStyle w:val="Heading3"/>
      </w:pPr>
      <w:r w:rsidRPr="00044937">
        <w:t xml:space="preserve">Cost </w:t>
      </w:r>
      <w:r w:rsidR="00044937">
        <w:t>Proposal</w:t>
      </w:r>
    </w:p>
    <w:bookmarkStart w:id="23" w:name="_MON_1771333378"/>
    <w:bookmarkEnd w:id="23"/>
    <w:p w14:paraId="124A5336" w14:textId="01947BED" w:rsidR="00291522" w:rsidRDefault="009628FE" w:rsidP="004211DE">
      <w:pPr>
        <w:pStyle w:val="Heading3"/>
        <w:numPr>
          <w:ilvl w:val="0"/>
          <w:numId w:val="0"/>
        </w:numPr>
        <w:ind w:left="720"/>
      </w:pPr>
      <w:r>
        <w:object w:dxaOrig="1538" w:dyaOrig="994" w14:anchorId="1DF3B1D9">
          <v:shape id="_x0000_i1028" type="#_x0000_t75" style="width:77.25pt;height:49.5pt" o:ole="">
            <v:imagedata r:id="rId21" o:title=""/>
          </v:shape>
          <o:OLEObject Type="Embed" ProgID="Word.Document.12" ShapeID="_x0000_i1028" DrawAspect="Icon" ObjectID="_1771744307" r:id="rId22">
            <o:FieldCodes>\s</o:FieldCodes>
          </o:OLEObject>
        </w:object>
      </w:r>
    </w:p>
    <w:p w14:paraId="217D2845" w14:textId="77777777" w:rsidR="00AB777B" w:rsidRPr="00155376" w:rsidRDefault="00AB777B" w:rsidP="004211DE">
      <w:pPr>
        <w:pStyle w:val="Heading3"/>
        <w:numPr>
          <w:ilvl w:val="0"/>
          <w:numId w:val="0"/>
        </w:numPr>
        <w:ind w:left="720"/>
      </w:pPr>
    </w:p>
    <w:p w14:paraId="7597E67C" w14:textId="7EDD6928" w:rsidR="00307E07" w:rsidRPr="00155376" w:rsidRDefault="00307E07" w:rsidP="004211DE">
      <w:pPr>
        <w:pStyle w:val="Heading3"/>
      </w:pPr>
      <w:r w:rsidRPr="00155376">
        <w:t>Proposed Staff Resume</w:t>
      </w:r>
    </w:p>
    <w:bookmarkStart w:id="24" w:name="_MON_1771329239"/>
    <w:bookmarkEnd w:id="24"/>
    <w:p w14:paraId="0F182E57" w14:textId="3B566042" w:rsidR="0026212B" w:rsidRDefault="00AB777B" w:rsidP="00BC6C13">
      <w:pPr>
        <w:ind w:left="720"/>
        <w:rPr>
          <w:sz w:val="24"/>
          <w:szCs w:val="24"/>
        </w:rPr>
      </w:pPr>
      <w:r>
        <w:rPr>
          <w:sz w:val="24"/>
          <w:szCs w:val="24"/>
        </w:rPr>
        <w:object w:dxaOrig="1538" w:dyaOrig="994" w14:anchorId="7BB7A827">
          <v:shape id="_x0000_i1029" type="#_x0000_t75" style="width:77.25pt;height:49.5pt" o:ole="">
            <v:imagedata r:id="rId23" o:title=""/>
          </v:shape>
          <o:OLEObject Type="Embed" ProgID="Word.Document.12" ShapeID="_x0000_i1029" DrawAspect="Icon" ObjectID="_1771744308" r:id="rId24">
            <o:FieldCodes>\s</o:FieldCodes>
          </o:OLEObject>
        </w:object>
      </w:r>
    </w:p>
    <w:p w14:paraId="600C6F22" w14:textId="77777777" w:rsidR="00AB777B" w:rsidRPr="00155376" w:rsidRDefault="00AB777B" w:rsidP="00BC6C13">
      <w:pPr>
        <w:ind w:left="720"/>
        <w:rPr>
          <w:sz w:val="24"/>
          <w:szCs w:val="24"/>
        </w:rPr>
      </w:pPr>
    </w:p>
    <w:p w14:paraId="5422C9AF" w14:textId="7596197C" w:rsidR="00307E07" w:rsidRPr="00155376" w:rsidRDefault="00307E07" w:rsidP="004211DE">
      <w:pPr>
        <w:pStyle w:val="Heading3"/>
      </w:pPr>
      <w:r w:rsidRPr="00155376">
        <w:t>Reference Questionnaire</w:t>
      </w:r>
    </w:p>
    <w:bookmarkStart w:id="25" w:name="_MON_1771329276"/>
    <w:bookmarkEnd w:id="25"/>
    <w:p w14:paraId="1A5C97F8" w14:textId="4E7927F4" w:rsidR="0026212B" w:rsidRDefault="000F619F" w:rsidP="00BC6C13">
      <w:pPr>
        <w:ind w:left="720"/>
        <w:rPr>
          <w:sz w:val="24"/>
          <w:szCs w:val="24"/>
        </w:rPr>
      </w:pPr>
      <w:r>
        <w:rPr>
          <w:sz w:val="24"/>
          <w:szCs w:val="24"/>
        </w:rPr>
        <w:object w:dxaOrig="1538" w:dyaOrig="994" w14:anchorId="18FEA8D0">
          <v:shape id="_x0000_i1030" type="#_x0000_t75" style="width:77.25pt;height:49.5pt" o:ole="">
            <v:imagedata r:id="rId25" o:title=""/>
          </v:shape>
          <o:OLEObject Type="Embed" ProgID="Word.Document.12" ShapeID="_x0000_i1030" DrawAspect="Icon" ObjectID="_1771744309" r:id="rId26">
            <o:FieldCodes>\s</o:FieldCodes>
          </o:OLEObject>
        </w:object>
      </w:r>
    </w:p>
    <w:p w14:paraId="27F58E77" w14:textId="77777777" w:rsidR="000F619F" w:rsidRPr="00155376" w:rsidRDefault="000F619F" w:rsidP="00BC6C13">
      <w:pPr>
        <w:ind w:left="720"/>
        <w:rPr>
          <w:sz w:val="24"/>
          <w:szCs w:val="24"/>
        </w:rPr>
      </w:pPr>
    </w:p>
    <w:p w14:paraId="423E1807" w14:textId="5374EA0E" w:rsidR="00C37CD2" w:rsidRPr="00155376" w:rsidRDefault="00C37CD2" w:rsidP="004211DE">
      <w:pPr>
        <w:pStyle w:val="Heading3"/>
      </w:pPr>
      <w:r w:rsidRPr="00155376">
        <w:t>Attachments for Signature</w:t>
      </w:r>
    </w:p>
    <w:p w14:paraId="3E9307EB" w14:textId="77777777" w:rsidR="0026212B" w:rsidRPr="00155376" w:rsidRDefault="0026212B" w:rsidP="0026212B">
      <w:pPr>
        <w:pStyle w:val="Heading4"/>
        <w:rPr>
          <w:sz w:val="24"/>
          <w:szCs w:val="32"/>
        </w:rPr>
      </w:pPr>
      <w:r w:rsidRPr="00155376">
        <w:rPr>
          <w:sz w:val="24"/>
          <w:szCs w:val="32"/>
        </w:rPr>
        <w:t>Vendor Information Response</w:t>
      </w:r>
    </w:p>
    <w:p w14:paraId="29A396D1" w14:textId="77777777" w:rsidR="0026212B" w:rsidRPr="00155376" w:rsidRDefault="0026212B" w:rsidP="0026212B">
      <w:pPr>
        <w:pStyle w:val="Heading4"/>
        <w:rPr>
          <w:sz w:val="24"/>
          <w:szCs w:val="32"/>
        </w:rPr>
      </w:pPr>
      <w:r w:rsidRPr="00155376">
        <w:rPr>
          <w:sz w:val="24"/>
          <w:szCs w:val="32"/>
        </w:rPr>
        <w:t>Vendor Certifications</w:t>
      </w:r>
    </w:p>
    <w:p w14:paraId="03DD9E9B" w14:textId="77777777" w:rsidR="0026212B" w:rsidRPr="00155376" w:rsidRDefault="0026212B" w:rsidP="0026212B">
      <w:pPr>
        <w:pStyle w:val="Heading4"/>
        <w:rPr>
          <w:sz w:val="24"/>
          <w:szCs w:val="32"/>
        </w:rPr>
      </w:pPr>
      <w:r w:rsidRPr="00155376">
        <w:rPr>
          <w:sz w:val="24"/>
          <w:szCs w:val="32"/>
        </w:rPr>
        <w:t>Certification Regarding Lobbying</w:t>
      </w:r>
    </w:p>
    <w:p w14:paraId="681A4924" w14:textId="77777777" w:rsidR="0026212B" w:rsidRPr="00155376" w:rsidRDefault="0026212B" w:rsidP="0026212B">
      <w:pPr>
        <w:pStyle w:val="Heading4"/>
        <w:rPr>
          <w:sz w:val="24"/>
          <w:szCs w:val="32"/>
        </w:rPr>
      </w:pPr>
      <w:r w:rsidRPr="00155376">
        <w:rPr>
          <w:sz w:val="24"/>
          <w:szCs w:val="32"/>
        </w:rPr>
        <w:t>Confidentiality and Certification of Indemnification</w:t>
      </w:r>
    </w:p>
    <w:p w14:paraId="4CC7DB10" w14:textId="23B1B0C8" w:rsidR="00607BBA" w:rsidRPr="00155376" w:rsidRDefault="000F619F" w:rsidP="00BC6C13">
      <w:pPr>
        <w:ind w:left="720"/>
        <w:rPr>
          <w:sz w:val="24"/>
          <w:szCs w:val="24"/>
        </w:rPr>
      </w:pPr>
      <w:r>
        <w:rPr>
          <w:sz w:val="24"/>
          <w:szCs w:val="24"/>
        </w:rPr>
        <w:object w:dxaOrig="1538" w:dyaOrig="994" w14:anchorId="72D7AA71">
          <v:shape id="_x0000_i1031" type="#_x0000_t75" style="width:77.25pt;height:49.5pt" o:ole="">
            <v:imagedata r:id="rId27" o:title=""/>
          </v:shape>
          <o:OLEObject Type="Embed" ProgID="Acrobat.Document.DC" ShapeID="_x0000_i1031" DrawAspect="Icon" ObjectID="_1771744310" r:id="rId28"/>
        </w:object>
      </w:r>
    </w:p>
    <w:p w14:paraId="5169DFC0" w14:textId="7AB22554" w:rsidR="000A5780" w:rsidRPr="00155376" w:rsidRDefault="000A5780" w:rsidP="00A33A03">
      <w:pPr>
        <w:pStyle w:val="Heading1"/>
        <w:rPr>
          <w:rFonts w:ascii="Times New Roman" w:hAnsi="Times New Roman"/>
          <w:bCs w:val="0"/>
          <w:sz w:val="24"/>
          <w:szCs w:val="24"/>
        </w:rPr>
      </w:pPr>
      <w:bookmarkStart w:id="26" w:name="_Toc160719741"/>
      <w:r w:rsidRPr="00155376">
        <w:rPr>
          <w:rFonts w:ascii="Times New Roman" w:hAnsi="Times New Roman"/>
          <w:sz w:val="24"/>
          <w:szCs w:val="24"/>
        </w:rPr>
        <w:lastRenderedPageBreak/>
        <w:t>TIMELINE</w:t>
      </w:r>
      <w:bookmarkEnd w:id="14"/>
      <w:bookmarkEnd w:id="15"/>
      <w:bookmarkEnd w:id="16"/>
      <w:bookmarkEnd w:id="17"/>
      <w:bookmarkEnd w:id="18"/>
      <w:bookmarkEnd w:id="19"/>
      <w:bookmarkEnd w:id="20"/>
      <w:bookmarkEnd w:id="26"/>
    </w:p>
    <w:p w14:paraId="65B9ADE7" w14:textId="77777777" w:rsidR="000A5780" w:rsidRPr="00155376" w:rsidRDefault="000A5780" w:rsidP="000A5780">
      <w:pPr>
        <w:rPr>
          <w:sz w:val="24"/>
          <w:szCs w:val="24"/>
        </w:rPr>
      </w:pPr>
    </w:p>
    <w:p w14:paraId="65E780C8" w14:textId="7196BBC1" w:rsidR="001658B9" w:rsidRDefault="001658B9" w:rsidP="110EB64E">
      <w:pPr>
        <w:pStyle w:val="Heading2"/>
        <w:spacing w:line="259" w:lineRule="auto"/>
      </w:pPr>
      <w:r>
        <w:t xml:space="preserve">QUESTIONS. </w:t>
      </w:r>
      <w:r w:rsidR="00B05314">
        <w:t xml:space="preserve">All questions regarding this </w:t>
      </w:r>
      <w:r w:rsidR="00D12E1A">
        <w:t>solicitation</w:t>
      </w:r>
      <w:r w:rsidR="00B05314">
        <w:t xml:space="preserve"> shall be </w:t>
      </w:r>
      <w:r w:rsidR="41BDB20A">
        <w:t>via email to jeoliver@nevadatreasurer.gov.</w:t>
      </w:r>
    </w:p>
    <w:p w14:paraId="2257B65E" w14:textId="77777777" w:rsidR="00B05314" w:rsidRPr="00155376" w:rsidRDefault="00B05314" w:rsidP="00B05314">
      <w:pPr>
        <w:rPr>
          <w:sz w:val="24"/>
          <w:szCs w:val="24"/>
        </w:rPr>
      </w:pPr>
    </w:p>
    <w:p w14:paraId="1F515900" w14:textId="600E4A68" w:rsidR="000A5780" w:rsidRPr="00155376" w:rsidRDefault="00051D94" w:rsidP="00516454">
      <w:pPr>
        <w:pStyle w:val="Heading2"/>
        <w:rPr>
          <w:b/>
        </w:rPr>
      </w:pPr>
      <w:r w:rsidRPr="00155376">
        <w:t xml:space="preserve">TIMELINE. </w:t>
      </w:r>
      <w:r w:rsidR="000A5780" w:rsidRPr="00155376">
        <w:t>The following represents the proposed timeline for this project.</w:t>
      </w:r>
    </w:p>
    <w:p w14:paraId="624BAF2A" w14:textId="77777777" w:rsidR="000A5780" w:rsidRPr="00155376" w:rsidRDefault="000A5780" w:rsidP="004211DE">
      <w:pPr>
        <w:pStyle w:val="Heading3"/>
        <w:rPr>
          <w:b/>
        </w:rPr>
      </w:pPr>
      <w:r w:rsidRPr="00155376">
        <w:t>All times stated are Pacific Time (PT).</w:t>
      </w:r>
    </w:p>
    <w:p w14:paraId="0C8BD5B2" w14:textId="77777777" w:rsidR="000A5780" w:rsidRPr="00155376" w:rsidRDefault="000A5780" w:rsidP="004211DE">
      <w:pPr>
        <w:pStyle w:val="Heading3"/>
        <w:rPr>
          <w:b/>
        </w:rPr>
      </w:pPr>
      <w:r w:rsidRPr="00155376">
        <w:t>These dates represent a tentative schedule of events.</w:t>
      </w:r>
    </w:p>
    <w:p w14:paraId="6B91D5AB" w14:textId="77777777" w:rsidR="000A5780" w:rsidRPr="00155376" w:rsidRDefault="000A5780" w:rsidP="004211DE">
      <w:pPr>
        <w:pStyle w:val="Heading3"/>
      </w:pPr>
      <w:r w:rsidRPr="00155376">
        <w:t>The State reserves the right to modify these dates at any time.</w:t>
      </w:r>
    </w:p>
    <w:p w14:paraId="3C161C2F" w14:textId="72CDD824" w:rsidR="000A5780" w:rsidRPr="00DB20B9" w:rsidRDefault="000A5780" w:rsidP="009B21A9">
      <w:pPr>
        <w:pStyle w:val="Heading4"/>
        <w:rPr>
          <w:sz w:val="24"/>
          <w:szCs w:val="32"/>
        </w:rPr>
      </w:pPr>
      <w:r w:rsidRPr="00155376">
        <w:rPr>
          <w:sz w:val="24"/>
          <w:szCs w:val="32"/>
        </w:rPr>
        <w:t>Deadline for Questions</w:t>
      </w:r>
      <w:r>
        <w:tab/>
      </w:r>
      <w:r w:rsidRPr="00155376">
        <w:rPr>
          <w:sz w:val="24"/>
          <w:szCs w:val="32"/>
        </w:rPr>
        <w:t xml:space="preserve">No </w:t>
      </w:r>
      <w:r w:rsidRPr="00DB20B9">
        <w:rPr>
          <w:sz w:val="24"/>
          <w:szCs w:val="32"/>
        </w:rPr>
        <w:t xml:space="preserve">later than 5:00 pm on </w:t>
      </w:r>
      <w:r w:rsidR="003654D5" w:rsidRPr="00DB20B9">
        <w:rPr>
          <w:sz w:val="24"/>
          <w:szCs w:val="32"/>
        </w:rPr>
        <w:t>03</w:t>
      </w:r>
      <w:r w:rsidRPr="00DB20B9">
        <w:rPr>
          <w:sz w:val="24"/>
          <w:szCs w:val="32"/>
        </w:rPr>
        <w:t>/</w:t>
      </w:r>
      <w:r w:rsidR="003654D5" w:rsidRPr="00DB20B9">
        <w:rPr>
          <w:sz w:val="24"/>
          <w:szCs w:val="32"/>
        </w:rPr>
        <w:t>29</w:t>
      </w:r>
      <w:r w:rsidRPr="00DB20B9">
        <w:rPr>
          <w:sz w:val="24"/>
          <w:szCs w:val="32"/>
        </w:rPr>
        <w:t>/</w:t>
      </w:r>
      <w:r w:rsidR="003654D5" w:rsidRPr="00DB20B9">
        <w:rPr>
          <w:sz w:val="24"/>
          <w:szCs w:val="32"/>
        </w:rPr>
        <w:t>2024</w:t>
      </w:r>
    </w:p>
    <w:p w14:paraId="3743F8DD" w14:textId="47DE980E" w:rsidR="000A5780" w:rsidRPr="00DB20B9" w:rsidRDefault="000A5780" w:rsidP="009B21A9">
      <w:pPr>
        <w:pStyle w:val="Heading4"/>
        <w:rPr>
          <w:sz w:val="24"/>
          <w:szCs w:val="32"/>
        </w:rPr>
      </w:pPr>
      <w:r w:rsidRPr="00DB20B9">
        <w:rPr>
          <w:sz w:val="24"/>
          <w:szCs w:val="32"/>
        </w:rPr>
        <w:t>Answers Posted</w:t>
      </w:r>
      <w:r>
        <w:tab/>
      </w:r>
      <w:r w:rsidRPr="00DB20B9">
        <w:rPr>
          <w:sz w:val="24"/>
          <w:szCs w:val="32"/>
        </w:rPr>
        <w:t xml:space="preserve">On or about </w:t>
      </w:r>
      <w:proofErr w:type="gramStart"/>
      <w:r w:rsidR="000966E4" w:rsidRPr="00DB20B9">
        <w:rPr>
          <w:sz w:val="24"/>
          <w:szCs w:val="32"/>
        </w:rPr>
        <w:t>04</w:t>
      </w:r>
      <w:r w:rsidRPr="00DB20B9">
        <w:rPr>
          <w:sz w:val="24"/>
          <w:szCs w:val="32"/>
        </w:rPr>
        <w:t>/</w:t>
      </w:r>
      <w:r w:rsidR="000966E4" w:rsidRPr="00DB20B9">
        <w:rPr>
          <w:sz w:val="24"/>
          <w:szCs w:val="32"/>
        </w:rPr>
        <w:t>12</w:t>
      </w:r>
      <w:r w:rsidRPr="00DB20B9">
        <w:rPr>
          <w:sz w:val="24"/>
          <w:szCs w:val="32"/>
        </w:rPr>
        <w:t>/</w:t>
      </w:r>
      <w:r w:rsidR="003654D5" w:rsidRPr="00DB20B9">
        <w:rPr>
          <w:sz w:val="24"/>
          <w:szCs w:val="32"/>
        </w:rPr>
        <w:t>2024</w:t>
      </w:r>
      <w:proofErr w:type="gramEnd"/>
    </w:p>
    <w:p w14:paraId="45AEFC31" w14:textId="31408006" w:rsidR="000A5780" w:rsidRPr="00DB20B9" w:rsidRDefault="000A5780" w:rsidP="009B21A9">
      <w:pPr>
        <w:pStyle w:val="Heading4"/>
        <w:rPr>
          <w:sz w:val="24"/>
          <w:szCs w:val="32"/>
        </w:rPr>
      </w:pPr>
      <w:r w:rsidRPr="00DB20B9">
        <w:rPr>
          <w:sz w:val="24"/>
          <w:szCs w:val="32"/>
        </w:rPr>
        <w:t>Deadline for References</w:t>
      </w:r>
      <w:r>
        <w:tab/>
      </w:r>
      <w:r w:rsidRPr="00DB20B9">
        <w:rPr>
          <w:sz w:val="24"/>
          <w:szCs w:val="32"/>
        </w:rPr>
        <w:t xml:space="preserve">No later than 5:00 pm on </w:t>
      </w:r>
      <w:r w:rsidR="00E35ADD" w:rsidRPr="00DB20B9">
        <w:rPr>
          <w:sz w:val="24"/>
          <w:szCs w:val="32"/>
        </w:rPr>
        <w:t>05</w:t>
      </w:r>
      <w:r w:rsidRPr="00DB20B9">
        <w:rPr>
          <w:sz w:val="24"/>
          <w:szCs w:val="32"/>
        </w:rPr>
        <w:t>/</w:t>
      </w:r>
      <w:r w:rsidR="00E35ADD" w:rsidRPr="00DB20B9">
        <w:rPr>
          <w:sz w:val="24"/>
          <w:szCs w:val="32"/>
        </w:rPr>
        <w:t>10</w:t>
      </w:r>
      <w:r w:rsidRPr="00DB20B9">
        <w:rPr>
          <w:sz w:val="24"/>
          <w:szCs w:val="32"/>
        </w:rPr>
        <w:t>/</w:t>
      </w:r>
      <w:r w:rsidR="00E35ADD" w:rsidRPr="00DB20B9">
        <w:rPr>
          <w:sz w:val="24"/>
          <w:szCs w:val="32"/>
        </w:rPr>
        <w:t>2024</w:t>
      </w:r>
    </w:p>
    <w:p w14:paraId="650DCFB2" w14:textId="526814C5" w:rsidR="000A5780" w:rsidRPr="00DB20B9" w:rsidRDefault="000A5780" w:rsidP="009B21A9">
      <w:pPr>
        <w:pStyle w:val="Heading4"/>
        <w:rPr>
          <w:sz w:val="24"/>
          <w:szCs w:val="32"/>
        </w:rPr>
      </w:pPr>
      <w:r w:rsidRPr="00DB20B9">
        <w:rPr>
          <w:sz w:val="24"/>
          <w:szCs w:val="32"/>
        </w:rPr>
        <w:t>Deadline Proposal Submission and Opening</w:t>
      </w:r>
      <w:r>
        <w:tab/>
      </w:r>
      <w:r w:rsidRPr="00DB20B9">
        <w:rPr>
          <w:sz w:val="24"/>
          <w:szCs w:val="32"/>
        </w:rPr>
        <w:t xml:space="preserve">No later than 2:00 pm on </w:t>
      </w:r>
      <w:proofErr w:type="gramStart"/>
      <w:r w:rsidR="00E35ADD" w:rsidRPr="00DB20B9">
        <w:rPr>
          <w:sz w:val="24"/>
          <w:szCs w:val="32"/>
        </w:rPr>
        <w:t>05</w:t>
      </w:r>
      <w:r w:rsidRPr="00DB20B9">
        <w:rPr>
          <w:sz w:val="24"/>
          <w:szCs w:val="32"/>
        </w:rPr>
        <w:t>/</w:t>
      </w:r>
      <w:r w:rsidR="00E35ADD" w:rsidRPr="00DB20B9">
        <w:rPr>
          <w:sz w:val="24"/>
          <w:szCs w:val="32"/>
        </w:rPr>
        <w:t>10</w:t>
      </w:r>
      <w:r w:rsidRPr="00DB20B9">
        <w:rPr>
          <w:sz w:val="24"/>
          <w:szCs w:val="32"/>
        </w:rPr>
        <w:t>/</w:t>
      </w:r>
      <w:r w:rsidR="00E35ADD" w:rsidRPr="00DB20B9">
        <w:rPr>
          <w:sz w:val="24"/>
          <w:szCs w:val="32"/>
        </w:rPr>
        <w:t>2024</w:t>
      </w:r>
      <w:proofErr w:type="gramEnd"/>
    </w:p>
    <w:p w14:paraId="5DE5CF15" w14:textId="653831D3" w:rsidR="000A5780" w:rsidRPr="00DB20B9" w:rsidRDefault="000A5780" w:rsidP="009B21A9">
      <w:pPr>
        <w:pStyle w:val="Heading4"/>
        <w:rPr>
          <w:sz w:val="24"/>
          <w:szCs w:val="32"/>
        </w:rPr>
      </w:pPr>
      <w:r w:rsidRPr="00DB20B9">
        <w:rPr>
          <w:sz w:val="24"/>
          <w:szCs w:val="32"/>
        </w:rPr>
        <w:t>Evaluation Period (estimated)</w:t>
      </w:r>
      <w:r>
        <w:tab/>
      </w:r>
      <w:r w:rsidR="00C23707" w:rsidRPr="00DB20B9">
        <w:rPr>
          <w:sz w:val="24"/>
          <w:szCs w:val="32"/>
        </w:rPr>
        <w:t>05</w:t>
      </w:r>
      <w:r w:rsidRPr="00DB20B9">
        <w:rPr>
          <w:sz w:val="24"/>
          <w:szCs w:val="32"/>
        </w:rPr>
        <w:t>/</w:t>
      </w:r>
      <w:r w:rsidR="00C23707" w:rsidRPr="00DB20B9">
        <w:rPr>
          <w:sz w:val="24"/>
          <w:szCs w:val="32"/>
        </w:rPr>
        <w:t>10</w:t>
      </w:r>
      <w:r w:rsidRPr="00DB20B9">
        <w:rPr>
          <w:sz w:val="24"/>
          <w:szCs w:val="32"/>
        </w:rPr>
        <w:t>/</w:t>
      </w:r>
      <w:r w:rsidR="00C23707" w:rsidRPr="00DB20B9">
        <w:rPr>
          <w:sz w:val="24"/>
          <w:szCs w:val="32"/>
        </w:rPr>
        <w:t>2024</w:t>
      </w:r>
      <w:r w:rsidRPr="00DB20B9">
        <w:rPr>
          <w:sz w:val="24"/>
          <w:szCs w:val="32"/>
        </w:rPr>
        <w:t xml:space="preserve"> - </w:t>
      </w:r>
      <w:proofErr w:type="gramStart"/>
      <w:r w:rsidR="00C23707" w:rsidRPr="00DB20B9">
        <w:rPr>
          <w:sz w:val="24"/>
          <w:szCs w:val="32"/>
        </w:rPr>
        <w:t>05</w:t>
      </w:r>
      <w:r w:rsidRPr="00DB20B9">
        <w:rPr>
          <w:sz w:val="24"/>
          <w:szCs w:val="32"/>
        </w:rPr>
        <w:t>/</w:t>
      </w:r>
      <w:r w:rsidR="00C23707" w:rsidRPr="00DB20B9">
        <w:rPr>
          <w:sz w:val="24"/>
          <w:szCs w:val="32"/>
        </w:rPr>
        <w:t>31</w:t>
      </w:r>
      <w:r w:rsidRPr="00DB20B9">
        <w:rPr>
          <w:sz w:val="24"/>
          <w:szCs w:val="32"/>
        </w:rPr>
        <w:t>/</w:t>
      </w:r>
      <w:r w:rsidR="00C23707" w:rsidRPr="00DB20B9">
        <w:rPr>
          <w:sz w:val="24"/>
          <w:szCs w:val="32"/>
        </w:rPr>
        <w:t>2024</w:t>
      </w:r>
      <w:proofErr w:type="gramEnd"/>
    </w:p>
    <w:p w14:paraId="249D90AC" w14:textId="4CFAE9D2" w:rsidR="000A5780" w:rsidRPr="00DB20B9" w:rsidRDefault="000A5780" w:rsidP="009B21A9">
      <w:pPr>
        <w:pStyle w:val="Heading4"/>
        <w:rPr>
          <w:sz w:val="24"/>
          <w:szCs w:val="32"/>
        </w:rPr>
      </w:pPr>
      <w:r w:rsidRPr="00DB20B9">
        <w:rPr>
          <w:sz w:val="24"/>
          <w:szCs w:val="32"/>
        </w:rPr>
        <w:t>Selection of a Vendor (estimated)</w:t>
      </w:r>
      <w:r>
        <w:tab/>
      </w:r>
      <w:r w:rsidRPr="00DB20B9">
        <w:rPr>
          <w:sz w:val="24"/>
          <w:szCs w:val="32"/>
        </w:rPr>
        <w:t xml:space="preserve">On or about </w:t>
      </w:r>
      <w:proofErr w:type="gramStart"/>
      <w:r w:rsidR="003F2F8F" w:rsidRPr="00DB20B9">
        <w:rPr>
          <w:sz w:val="24"/>
          <w:szCs w:val="32"/>
        </w:rPr>
        <w:t>06</w:t>
      </w:r>
      <w:r w:rsidRPr="00DB20B9">
        <w:rPr>
          <w:sz w:val="24"/>
          <w:szCs w:val="32"/>
        </w:rPr>
        <w:t>/</w:t>
      </w:r>
      <w:r w:rsidR="003F2F8F" w:rsidRPr="00DB20B9">
        <w:rPr>
          <w:sz w:val="24"/>
          <w:szCs w:val="32"/>
        </w:rPr>
        <w:t>03</w:t>
      </w:r>
      <w:r w:rsidRPr="00DB20B9">
        <w:rPr>
          <w:sz w:val="24"/>
          <w:szCs w:val="32"/>
        </w:rPr>
        <w:t>/</w:t>
      </w:r>
      <w:r w:rsidR="003F2F8F" w:rsidRPr="00DB20B9">
        <w:rPr>
          <w:sz w:val="24"/>
          <w:szCs w:val="32"/>
        </w:rPr>
        <w:t>2024</w:t>
      </w:r>
      <w:proofErr w:type="gramEnd"/>
    </w:p>
    <w:p w14:paraId="3415F249" w14:textId="286F7E80" w:rsidR="000A5780" w:rsidRPr="00DB20B9" w:rsidRDefault="000A5780" w:rsidP="009B21A9">
      <w:pPr>
        <w:pStyle w:val="Heading4"/>
        <w:rPr>
          <w:sz w:val="24"/>
          <w:szCs w:val="32"/>
        </w:rPr>
      </w:pPr>
      <w:r w:rsidRPr="00DB20B9">
        <w:rPr>
          <w:sz w:val="24"/>
          <w:szCs w:val="32"/>
        </w:rPr>
        <w:t>Contract start date (estimated)</w:t>
      </w:r>
      <w:r>
        <w:tab/>
      </w:r>
      <w:proofErr w:type="gramStart"/>
      <w:r w:rsidR="003F2F8F" w:rsidRPr="00DB20B9">
        <w:rPr>
          <w:sz w:val="24"/>
          <w:szCs w:val="32"/>
        </w:rPr>
        <w:t>07</w:t>
      </w:r>
      <w:r w:rsidRPr="00DB20B9">
        <w:rPr>
          <w:sz w:val="24"/>
          <w:szCs w:val="32"/>
        </w:rPr>
        <w:t>/</w:t>
      </w:r>
      <w:r w:rsidR="003F2F8F" w:rsidRPr="00DB20B9">
        <w:rPr>
          <w:sz w:val="24"/>
          <w:szCs w:val="32"/>
        </w:rPr>
        <w:t>01</w:t>
      </w:r>
      <w:r w:rsidRPr="00DB20B9">
        <w:rPr>
          <w:sz w:val="24"/>
          <w:szCs w:val="32"/>
        </w:rPr>
        <w:t>/</w:t>
      </w:r>
      <w:r w:rsidR="003F2F8F" w:rsidRPr="00DB20B9">
        <w:rPr>
          <w:sz w:val="24"/>
          <w:szCs w:val="32"/>
        </w:rPr>
        <w:t>2024</w:t>
      </w:r>
      <w:proofErr w:type="gramEnd"/>
    </w:p>
    <w:p w14:paraId="48FCB27C" w14:textId="77777777" w:rsidR="000A5780" w:rsidRPr="00155376" w:rsidRDefault="000A5780" w:rsidP="000A5780">
      <w:pPr>
        <w:rPr>
          <w:sz w:val="24"/>
          <w:szCs w:val="24"/>
        </w:rPr>
      </w:pPr>
    </w:p>
    <w:p w14:paraId="089DDCDB" w14:textId="3D996A4D" w:rsidR="00104A2B" w:rsidRPr="00155376" w:rsidRDefault="00104A2B" w:rsidP="00A33A03">
      <w:pPr>
        <w:pStyle w:val="Heading1"/>
        <w:rPr>
          <w:rFonts w:ascii="Times New Roman" w:hAnsi="Times New Roman"/>
          <w:sz w:val="24"/>
          <w:szCs w:val="24"/>
        </w:rPr>
      </w:pPr>
      <w:bookmarkStart w:id="27" w:name="_Toc70363821"/>
      <w:bookmarkStart w:id="28" w:name="_Toc70367356"/>
      <w:bookmarkStart w:id="29" w:name="_Toc160719742"/>
      <w:r w:rsidRPr="00155376">
        <w:rPr>
          <w:rFonts w:ascii="Times New Roman" w:hAnsi="Times New Roman"/>
          <w:sz w:val="24"/>
          <w:szCs w:val="24"/>
        </w:rPr>
        <w:t>EVALUATION</w:t>
      </w:r>
      <w:bookmarkEnd w:id="27"/>
      <w:bookmarkEnd w:id="28"/>
      <w:bookmarkEnd w:id="29"/>
    </w:p>
    <w:p w14:paraId="2B2E6C3E" w14:textId="77777777" w:rsidR="00104A2B" w:rsidRPr="00155376" w:rsidRDefault="00104A2B" w:rsidP="00104A2B">
      <w:pPr>
        <w:rPr>
          <w:sz w:val="24"/>
          <w:szCs w:val="24"/>
        </w:rPr>
      </w:pPr>
    </w:p>
    <w:p w14:paraId="39BB6BCD" w14:textId="5A1B5533" w:rsidR="00104A2B" w:rsidRPr="00155376" w:rsidRDefault="00D12E1A" w:rsidP="00516454">
      <w:pPr>
        <w:pStyle w:val="Heading2"/>
      </w:pPr>
      <w:r w:rsidRPr="00155376">
        <w:t>E</w:t>
      </w:r>
      <w:r w:rsidR="00104A2B" w:rsidRPr="00155376">
        <w:t xml:space="preserve">valuation and scoring </w:t>
      </w:r>
      <w:r w:rsidRPr="00155376">
        <w:t>are</w:t>
      </w:r>
      <w:r w:rsidR="00104A2B" w:rsidRPr="00155376">
        <w:t xml:space="preserve"> conducted in accordance with NRS 333.335 and NAC 333.160-333.165.</w:t>
      </w:r>
    </w:p>
    <w:p w14:paraId="66235E6E" w14:textId="77777777" w:rsidR="00104A2B" w:rsidRPr="00155376" w:rsidRDefault="00104A2B" w:rsidP="00104A2B">
      <w:pPr>
        <w:rPr>
          <w:sz w:val="24"/>
          <w:szCs w:val="24"/>
        </w:rPr>
      </w:pPr>
    </w:p>
    <w:p w14:paraId="75EA7C52" w14:textId="347B7234" w:rsidR="00104A2B" w:rsidRPr="00155376" w:rsidRDefault="00104A2B" w:rsidP="004211DE">
      <w:pPr>
        <w:pStyle w:val="Heading3"/>
      </w:pPr>
      <w:r w:rsidRPr="00155376">
        <w:t>Proposals shall be kept confidential until a contract is awarded.</w:t>
      </w:r>
    </w:p>
    <w:p w14:paraId="3FB0583D" w14:textId="59603217" w:rsidR="00104A2B" w:rsidRPr="00155376" w:rsidRDefault="00104A2B" w:rsidP="004211DE">
      <w:pPr>
        <w:pStyle w:val="Heading3"/>
      </w:pPr>
      <w:r w:rsidRPr="00155376">
        <w:t xml:space="preserve">In the event the </w:t>
      </w:r>
      <w:r w:rsidR="00D12E1A" w:rsidRPr="00155376">
        <w:t>solicitation</w:t>
      </w:r>
      <w:r w:rsidRPr="00155376">
        <w:t xml:space="preserve"> is withdrawn prior to award, proposals remain confidential.</w:t>
      </w:r>
    </w:p>
    <w:p w14:paraId="6B35FF23" w14:textId="72D65A67" w:rsidR="00104A2B" w:rsidRPr="00155376" w:rsidRDefault="00104A2B" w:rsidP="004211DE">
      <w:pPr>
        <w:pStyle w:val="Heading3"/>
      </w:pPr>
      <w:r w:rsidRPr="00155376">
        <w:t xml:space="preserve">The evaluation committee is an independent committee established to evaluate and score proposals submitted in response to the </w:t>
      </w:r>
      <w:r w:rsidR="00D12E1A" w:rsidRPr="00155376">
        <w:t>solicitation</w:t>
      </w:r>
      <w:r w:rsidRPr="00155376">
        <w:t>.</w:t>
      </w:r>
    </w:p>
    <w:p w14:paraId="1189DFE6" w14:textId="77777777" w:rsidR="00104A2B" w:rsidRPr="00155376" w:rsidRDefault="00104A2B" w:rsidP="004211DE">
      <w:pPr>
        <w:pStyle w:val="Heading3"/>
      </w:pPr>
      <w:r w:rsidRPr="00155376">
        <w:t>Financial stability shall be scored on a pass/fail basis.</w:t>
      </w:r>
    </w:p>
    <w:p w14:paraId="715F2988" w14:textId="77777777" w:rsidR="00104A2B" w:rsidRPr="00155376" w:rsidRDefault="00104A2B" w:rsidP="004211DE">
      <w:pPr>
        <w:pStyle w:val="Heading3"/>
      </w:pPr>
      <w:r w:rsidRPr="00155376">
        <w:t>Proposals shall be consistently evaluated and scored based upon the following factors and relative weights.</w:t>
      </w:r>
    </w:p>
    <w:p w14:paraId="4602C7DD" w14:textId="3D35726D" w:rsidR="00104A2B" w:rsidRPr="0021421F" w:rsidRDefault="00FC7CFD" w:rsidP="009B21A9">
      <w:pPr>
        <w:pStyle w:val="Heading4"/>
        <w:rPr>
          <w:sz w:val="24"/>
          <w:szCs w:val="32"/>
        </w:rPr>
      </w:pPr>
      <w:r w:rsidRPr="0021421F">
        <w:rPr>
          <w:sz w:val="24"/>
          <w:szCs w:val="32"/>
        </w:rPr>
        <w:t>Demonstrated Competence</w:t>
      </w:r>
      <w:r w:rsidR="00104A2B" w:rsidRPr="0021421F">
        <w:rPr>
          <w:sz w:val="24"/>
          <w:szCs w:val="32"/>
        </w:rPr>
        <w:tab/>
        <w:t>3</w:t>
      </w:r>
      <w:r w:rsidR="00C95A9E">
        <w:rPr>
          <w:sz w:val="24"/>
          <w:szCs w:val="32"/>
        </w:rPr>
        <w:t>0</w:t>
      </w:r>
    </w:p>
    <w:p w14:paraId="73BA5567" w14:textId="63269CD5" w:rsidR="00104A2B" w:rsidRPr="0021421F" w:rsidRDefault="00FC7CFD" w:rsidP="009B21A9">
      <w:pPr>
        <w:pStyle w:val="Heading4"/>
        <w:rPr>
          <w:sz w:val="24"/>
          <w:szCs w:val="32"/>
        </w:rPr>
      </w:pPr>
      <w:r w:rsidRPr="0021421F">
        <w:rPr>
          <w:sz w:val="24"/>
          <w:szCs w:val="32"/>
        </w:rPr>
        <w:t>Expertise</w:t>
      </w:r>
      <w:r w:rsidR="006F5B09">
        <w:rPr>
          <w:sz w:val="24"/>
          <w:szCs w:val="32"/>
        </w:rPr>
        <w:t xml:space="preserve"> and Experience</w:t>
      </w:r>
      <w:r w:rsidR="00104A2B" w:rsidRPr="0021421F">
        <w:rPr>
          <w:sz w:val="24"/>
          <w:szCs w:val="32"/>
        </w:rPr>
        <w:tab/>
      </w:r>
      <w:r w:rsidR="00C95A9E">
        <w:rPr>
          <w:sz w:val="24"/>
          <w:szCs w:val="32"/>
        </w:rPr>
        <w:t>25</w:t>
      </w:r>
    </w:p>
    <w:p w14:paraId="4E6B54BE" w14:textId="06F39034" w:rsidR="00104A2B" w:rsidRPr="0021421F" w:rsidRDefault="00750F87" w:rsidP="009B21A9">
      <w:pPr>
        <w:pStyle w:val="Heading4"/>
        <w:rPr>
          <w:sz w:val="24"/>
          <w:szCs w:val="32"/>
        </w:rPr>
      </w:pPr>
      <w:r w:rsidRPr="0021421F">
        <w:rPr>
          <w:sz w:val="24"/>
          <w:szCs w:val="32"/>
        </w:rPr>
        <w:t>Conformance with the Terms of this RFP</w:t>
      </w:r>
      <w:r w:rsidR="00104A2B" w:rsidRPr="0021421F">
        <w:rPr>
          <w:sz w:val="24"/>
          <w:szCs w:val="32"/>
        </w:rPr>
        <w:tab/>
      </w:r>
      <w:r w:rsidR="00850C8A">
        <w:rPr>
          <w:sz w:val="24"/>
          <w:szCs w:val="32"/>
        </w:rPr>
        <w:t>2</w:t>
      </w:r>
      <w:r w:rsidR="00104A2B" w:rsidRPr="0021421F">
        <w:rPr>
          <w:sz w:val="24"/>
          <w:szCs w:val="32"/>
        </w:rPr>
        <w:t>5</w:t>
      </w:r>
    </w:p>
    <w:p w14:paraId="1563BC72" w14:textId="688B5E8A" w:rsidR="00104A2B" w:rsidRPr="0021421F" w:rsidRDefault="0021421F" w:rsidP="009B21A9">
      <w:pPr>
        <w:pStyle w:val="Heading4"/>
        <w:rPr>
          <w:sz w:val="24"/>
          <w:szCs w:val="32"/>
        </w:rPr>
      </w:pPr>
      <w:r w:rsidRPr="0021421F">
        <w:rPr>
          <w:sz w:val="24"/>
          <w:szCs w:val="32"/>
        </w:rPr>
        <w:t>Cost</w:t>
      </w:r>
      <w:r w:rsidR="00104A2B" w:rsidRPr="0021421F">
        <w:rPr>
          <w:sz w:val="24"/>
          <w:szCs w:val="32"/>
        </w:rPr>
        <w:tab/>
      </w:r>
      <w:r w:rsidR="00A1191F">
        <w:rPr>
          <w:sz w:val="24"/>
          <w:szCs w:val="32"/>
        </w:rPr>
        <w:t>20</w:t>
      </w:r>
    </w:p>
    <w:p w14:paraId="1EABE615" w14:textId="77777777" w:rsidR="00104A2B" w:rsidRPr="00155376" w:rsidRDefault="00104A2B" w:rsidP="00104A2B">
      <w:pPr>
        <w:rPr>
          <w:sz w:val="24"/>
          <w:szCs w:val="24"/>
        </w:rPr>
      </w:pPr>
    </w:p>
    <w:p w14:paraId="43A68287" w14:textId="77777777" w:rsidR="00104A2B" w:rsidRPr="00A05E18" w:rsidRDefault="00104A2B" w:rsidP="004211DE">
      <w:pPr>
        <w:pStyle w:val="Heading3"/>
      </w:pPr>
      <w:r w:rsidRPr="00A05E18">
        <w:t>Cost proposals will be evaluated based on the following formula.</w:t>
      </w:r>
    </w:p>
    <w:p w14:paraId="6A6AD40E" w14:textId="5BA14AE3" w:rsidR="00104A2B" w:rsidRPr="00A05E18" w:rsidRDefault="00104A2B" w:rsidP="00287E94">
      <w:pPr>
        <w:pStyle w:val="Heading4"/>
        <w:numPr>
          <w:ilvl w:val="0"/>
          <w:numId w:val="0"/>
        </w:numPr>
        <w:rPr>
          <w:sz w:val="24"/>
        </w:rPr>
      </w:pPr>
    </w:p>
    <w:p w14:paraId="79064B7B" w14:textId="60DD179E" w:rsidR="00287E94" w:rsidRPr="00A05E18" w:rsidRDefault="00287E94" w:rsidP="00287E94">
      <w:pPr>
        <w:tabs>
          <w:tab w:val="left" w:pos="1440"/>
        </w:tabs>
        <w:ind w:left="1440" w:hanging="720"/>
        <w:rPr>
          <w:bCs/>
          <w:sz w:val="24"/>
          <w:szCs w:val="24"/>
        </w:rPr>
      </w:pPr>
      <w:r w:rsidRPr="00A05E18">
        <w:rPr>
          <w:bCs/>
          <w:sz w:val="24"/>
          <w:szCs w:val="24"/>
        </w:rPr>
        <w:t xml:space="preserve">Firm must </w:t>
      </w:r>
      <w:r w:rsidRPr="00CD5ED0">
        <w:rPr>
          <w:bCs/>
          <w:sz w:val="24"/>
          <w:szCs w:val="24"/>
        </w:rPr>
        <w:t xml:space="preserve">utilize </w:t>
      </w:r>
      <w:r w:rsidRPr="00CD5ED0">
        <w:rPr>
          <w:bCs/>
          <w:i/>
          <w:sz w:val="24"/>
          <w:szCs w:val="24"/>
          <w:u w:val="single"/>
        </w:rPr>
        <w:t xml:space="preserve">Attachment </w:t>
      </w:r>
      <w:r w:rsidR="00CD5ED0" w:rsidRPr="00CD5ED0">
        <w:rPr>
          <w:bCs/>
          <w:i/>
          <w:sz w:val="24"/>
          <w:szCs w:val="24"/>
          <w:u w:val="single"/>
        </w:rPr>
        <w:t xml:space="preserve">6.3.1 </w:t>
      </w:r>
      <w:r w:rsidRPr="00CD5ED0">
        <w:rPr>
          <w:bCs/>
          <w:i/>
          <w:sz w:val="24"/>
          <w:szCs w:val="24"/>
          <w:u w:val="single"/>
        </w:rPr>
        <w:t>-</w:t>
      </w:r>
      <w:r w:rsidR="00C662A7">
        <w:rPr>
          <w:bCs/>
          <w:i/>
          <w:sz w:val="24"/>
          <w:szCs w:val="24"/>
          <w:u w:val="single"/>
        </w:rPr>
        <w:t>Bond Counsel and/or Dis</w:t>
      </w:r>
      <w:r w:rsidR="000974BF">
        <w:rPr>
          <w:bCs/>
          <w:i/>
          <w:sz w:val="24"/>
          <w:szCs w:val="24"/>
          <w:u w:val="single"/>
        </w:rPr>
        <w:t>closure Counsel</w:t>
      </w:r>
      <w:r w:rsidRPr="00CD5ED0">
        <w:rPr>
          <w:bCs/>
          <w:i/>
          <w:sz w:val="24"/>
          <w:szCs w:val="24"/>
          <w:u w:val="single"/>
        </w:rPr>
        <w:t xml:space="preserve"> Cost Proposal</w:t>
      </w:r>
      <w:r w:rsidRPr="00CD5ED0">
        <w:rPr>
          <w:bCs/>
          <w:sz w:val="24"/>
          <w:szCs w:val="24"/>
        </w:rPr>
        <w:t xml:space="preserve"> when submitting</w:t>
      </w:r>
      <w:r w:rsidRPr="00A05E18">
        <w:rPr>
          <w:bCs/>
          <w:sz w:val="24"/>
          <w:szCs w:val="24"/>
        </w:rPr>
        <w:t xml:space="preserve"> their cost proposal.</w:t>
      </w:r>
    </w:p>
    <w:p w14:paraId="018A9457" w14:textId="77777777" w:rsidR="00287E94" w:rsidRPr="00A05E18" w:rsidRDefault="00287E94" w:rsidP="00287E94">
      <w:pPr>
        <w:tabs>
          <w:tab w:val="left" w:pos="1440"/>
        </w:tabs>
        <w:ind w:left="1440" w:hanging="720"/>
        <w:rPr>
          <w:bCs/>
          <w:sz w:val="24"/>
          <w:szCs w:val="24"/>
        </w:rPr>
      </w:pPr>
    </w:p>
    <w:p w14:paraId="3C697B63" w14:textId="5C1FD24C" w:rsidR="00287E94" w:rsidRPr="00A05E18" w:rsidRDefault="000F790B" w:rsidP="00287E94">
      <w:pPr>
        <w:tabs>
          <w:tab w:val="left" w:pos="1440"/>
        </w:tabs>
        <w:ind w:left="1440" w:hanging="720"/>
        <w:rPr>
          <w:bCs/>
          <w:sz w:val="24"/>
          <w:szCs w:val="24"/>
        </w:rPr>
      </w:pPr>
      <w:r w:rsidRPr="00A05E18">
        <w:rPr>
          <w:bCs/>
          <w:sz w:val="24"/>
          <w:szCs w:val="24"/>
        </w:rPr>
        <w:t>A.</w:t>
      </w:r>
      <w:r w:rsidR="00287E94" w:rsidRPr="00A05E18">
        <w:rPr>
          <w:bCs/>
          <w:sz w:val="24"/>
          <w:szCs w:val="24"/>
        </w:rPr>
        <w:tab/>
        <w:t>Fees will include all related costs and expenses, including but not limited to, overhead and support staff.</w:t>
      </w:r>
    </w:p>
    <w:p w14:paraId="35AF5E22" w14:textId="77777777" w:rsidR="00287E94" w:rsidRPr="00A05E18" w:rsidRDefault="00287E94" w:rsidP="00287E94">
      <w:pPr>
        <w:tabs>
          <w:tab w:val="left" w:pos="1440"/>
        </w:tabs>
        <w:ind w:left="1440" w:hanging="720"/>
        <w:rPr>
          <w:bCs/>
          <w:sz w:val="24"/>
          <w:szCs w:val="24"/>
        </w:rPr>
      </w:pPr>
    </w:p>
    <w:p w14:paraId="23BB0323" w14:textId="1EB01D73" w:rsidR="00287E94" w:rsidRPr="00A05E18" w:rsidRDefault="00B32E77" w:rsidP="00287E94">
      <w:pPr>
        <w:tabs>
          <w:tab w:val="left" w:pos="1440"/>
        </w:tabs>
        <w:ind w:left="1440" w:hanging="720"/>
        <w:rPr>
          <w:bCs/>
          <w:sz w:val="24"/>
          <w:szCs w:val="24"/>
        </w:rPr>
      </w:pPr>
      <w:r w:rsidRPr="00A05E18">
        <w:rPr>
          <w:bCs/>
          <w:sz w:val="24"/>
          <w:szCs w:val="24"/>
        </w:rPr>
        <w:t>B.</w:t>
      </w:r>
      <w:r w:rsidR="00287E94" w:rsidRPr="00A05E18">
        <w:rPr>
          <w:bCs/>
          <w:sz w:val="24"/>
          <w:szCs w:val="24"/>
        </w:rPr>
        <w:tab/>
        <w:t xml:space="preserve">Compensation </w:t>
      </w:r>
      <w:r w:rsidR="00287E94" w:rsidRPr="00CD5ED0">
        <w:rPr>
          <w:bCs/>
          <w:sz w:val="24"/>
          <w:szCs w:val="24"/>
        </w:rPr>
        <w:t xml:space="preserve">stated in </w:t>
      </w:r>
      <w:r w:rsidR="00287E94" w:rsidRPr="00CD5ED0">
        <w:rPr>
          <w:bCs/>
          <w:i/>
          <w:sz w:val="24"/>
          <w:szCs w:val="24"/>
          <w:u w:val="single"/>
        </w:rPr>
        <w:t xml:space="preserve">Attachment </w:t>
      </w:r>
      <w:r w:rsidR="00CD5ED0" w:rsidRPr="00CD5ED0">
        <w:rPr>
          <w:bCs/>
          <w:i/>
          <w:sz w:val="24"/>
          <w:szCs w:val="24"/>
          <w:u w:val="single"/>
        </w:rPr>
        <w:t xml:space="preserve">6.3.1 </w:t>
      </w:r>
      <w:r w:rsidR="00287E94" w:rsidRPr="00CD5ED0">
        <w:rPr>
          <w:bCs/>
          <w:i/>
          <w:sz w:val="24"/>
          <w:szCs w:val="24"/>
          <w:u w:val="single"/>
        </w:rPr>
        <w:t xml:space="preserve">- </w:t>
      </w:r>
      <w:r w:rsidR="000974BF">
        <w:rPr>
          <w:bCs/>
          <w:i/>
          <w:sz w:val="24"/>
          <w:szCs w:val="24"/>
          <w:u w:val="single"/>
        </w:rPr>
        <w:t>Bond Counsel and/or Disclosure Counsel</w:t>
      </w:r>
      <w:r w:rsidR="000974BF" w:rsidRPr="00CD5ED0">
        <w:rPr>
          <w:bCs/>
          <w:i/>
          <w:sz w:val="24"/>
          <w:szCs w:val="24"/>
          <w:u w:val="single"/>
        </w:rPr>
        <w:t xml:space="preserve"> </w:t>
      </w:r>
      <w:r w:rsidR="00287E94" w:rsidRPr="00CD5ED0">
        <w:rPr>
          <w:bCs/>
          <w:i/>
          <w:sz w:val="24"/>
          <w:szCs w:val="24"/>
          <w:u w:val="single"/>
        </w:rPr>
        <w:t>Cost Proposal</w:t>
      </w:r>
      <w:r w:rsidR="00287E94" w:rsidRPr="00CD5ED0">
        <w:rPr>
          <w:bCs/>
          <w:sz w:val="24"/>
          <w:szCs w:val="24"/>
        </w:rPr>
        <w:t xml:space="preserve"> of</w:t>
      </w:r>
      <w:r w:rsidR="00287E94" w:rsidRPr="00A05E18">
        <w:rPr>
          <w:bCs/>
          <w:sz w:val="24"/>
          <w:szCs w:val="24"/>
        </w:rPr>
        <w:t xml:space="preserve"> the proposal is an irrevocable offer for the term of any contract resulting from this solicitation.</w:t>
      </w:r>
    </w:p>
    <w:p w14:paraId="587425D0" w14:textId="77777777" w:rsidR="00287E94" w:rsidRPr="00A05E18" w:rsidRDefault="00287E94" w:rsidP="00287E94">
      <w:pPr>
        <w:ind w:left="1440" w:hanging="720"/>
        <w:rPr>
          <w:bCs/>
          <w:sz w:val="24"/>
          <w:szCs w:val="24"/>
        </w:rPr>
      </w:pPr>
    </w:p>
    <w:p w14:paraId="7ADB7D11" w14:textId="3FF4A24E" w:rsidR="00287E94" w:rsidRPr="00A05E18" w:rsidRDefault="00B32E77" w:rsidP="00287E94">
      <w:pPr>
        <w:ind w:left="1440" w:hanging="720"/>
        <w:rPr>
          <w:bCs/>
          <w:sz w:val="24"/>
          <w:szCs w:val="24"/>
        </w:rPr>
      </w:pPr>
      <w:r w:rsidRPr="00A05E18">
        <w:rPr>
          <w:bCs/>
          <w:sz w:val="24"/>
          <w:szCs w:val="24"/>
        </w:rPr>
        <w:t>C.</w:t>
      </w:r>
      <w:r w:rsidR="00287E94" w:rsidRPr="00A05E18">
        <w:rPr>
          <w:bCs/>
          <w:sz w:val="24"/>
          <w:szCs w:val="24"/>
        </w:rPr>
        <w:tab/>
        <w:t xml:space="preserve">Compensation for </w:t>
      </w:r>
      <w:r w:rsidR="000974BF">
        <w:rPr>
          <w:bCs/>
          <w:sz w:val="24"/>
          <w:szCs w:val="24"/>
        </w:rPr>
        <w:t>bond counsel and/or disclosure counsel</w:t>
      </w:r>
      <w:r w:rsidR="00287E94" w:rsidRPr="00A05E18">
        <w:rPr>
          <w:bCs/>
          <w:sz w:val="24"/>
          <w:szCs w:val="24"/>
        </w:rPr>
        <w:t xml:space="preserve"> services for a security issuance shall be made </w:t>
      </w:r>
      <w:r w:rsidR="00287E94" w:rsidRPr="00A05E18">
        <w:rPr>
          <w:b/>
          <w:bCs/>
          <w:sz w:val="24"/>
          <w:szCs w:val="24"/>
        </w:rPr>
        <w:t>only</w:t>
      </w:r>
      <w:r w:rsidR="00287E94" w:rsidRPr="00A05E18">
        <w:rPr>
          <w:bCs/>
          <w:sz w:val="24"/>
          <w:szCs w:val="24"/>
        </w:rPr>
        <w:t xml:space="preserve"> after, and contingent upon, the successful closing of the issuance.</w:t>
      </w:r>
    </w:p>
    <w:p w14:paraId="5159F394" w14:textId="77777777" w:rsidR="00287E94" w:rsidRPr="00A05E18" w:rsidRDefault="00287E94" w:rsidP="00287E94">
      <w:pPr>
        <w:ind w:left="1440" w:hanging="720"/>
        <w:rPr>
          <w:bCs/>
          <w:sz w:val="24"/>
          <w:szCs w:val="24"/>
        </w:rPr>
      </w:pPr>
    </w:p>
    <w:p w14:paraId="02E25F18" w14:textId="2906FAF2" w:rsidR="00287E94" w:rsidRPr="00A05E18" w:rsidRDefault="00B32E77" w:rsidP="00287E94">
      <w:pPr>
        <w:tabs>
          <w:tab w:val="left" w:pos="1440"/>
        </w:tabs>
        <w:ind w:left="1440" w:hanging="720"/>
        <w:rPr>
          <w:bCs/>
          <w:sz w:val="24"/>
          <w:szCs w:val="24"/>
        </w:rPr>
      </w:pPr>
      <w:r w:rsidRPr="00A05E18">
        <w:rPr>
          <w:bCs/>
          <w:sz w:val="24"/>
          <w:szCs w:val="24"/>
        </w:rPr>
        <w:t>D.</w:t>
      </w:r>
      <w:r w:rsidR="00287E94" w:rsidRPr="00A05E18">
        <w:rPr>
          <w:bCs/>
          <w:sz w:val="24"/>
          <w:szCs w:val="24"/>
        </w:rPr>
        <w:tab/>
        <w:t>Unless otherwise agreed to in advance, it is expected that only one professional from firm’s organization will attend meetings and other necessary events.</w:t>
      </w:r>
    </w:p>
    <w:p w14:paraId="4B6CD8AD" w14:textId="77777777" w:rsidR="00A05E18" w:rsidRPr="00A05E18" w:rsidRDefault="00A05E18" w:rsidP="00287E94">
      <w:pPr>
        <w:tabs>
          <w:tab w:val="left" w:pos="1440"/>
        </w:tabs>
        <w:ind w:left="1440" w:hanging="720"/>
        <w:rPr>
          <w:bCs/>
          <w:sz w:val="24"/>
          <w:szCs w:val="24"/>
        </w:rPr>
      </w:pPr>
    </w:p>
    <w:p w14:paraId="6DCA7645" w14:textId="6FA5A08F" w:rsidR="00A05E18" w:rsidRPr="00A05E18" w:rsidRDefault="009459D8" w:rsidP="00A05E18">
      <w:pPr>
        <w:tabs>
          <w:tab w:val="left" w:pos="1440"/>
        </w:tabs>
        <w:ind w:left="1440" w:hanging="720"/>
        <w:rPr>
          <w:bCs/>
          <w:sz w:val="24"/>
          <w:szCs w:val="24"/>
        </w:rPr>
      </w:pPr>
      <w:r>
        <w:rPr>
          <w:bCs/>
          <w:sz w:val="24"/>
          <w:szCs w:val="24"/>
        </w:rPr>
        <w:t>E.</w:t>
      </w:r>
      <w:r>
        <w:rPr>
          <w:bCs/>
          <w:sz w:val="24"/>
          <w:szCs w:val="24"/>
        </w:rPr>
        <w:tab/>
      </w:r>
      <w:r w:rsidR="00A05E18" w:rsidRPr="00A05E18">
        <w:rPr>
          <w:bCs/>
          <w:sz w:val="24"/>
          <w:szCs w:val="24"/>
        </w:rPr>
        <w:t xml:space="preserve">Charges for professional time during travel will not normally be reimbursable unless the time is </w:t>
      </w:r>
      <w:proofErr w:type="gramStart"/>
      <w:r w:rsidR="00A05E18" w:rsidRPr="00A05E18">
        <w:rPr>
          <w:bCs/>
          <w:sz w:val="24"/>
          <w:szCs w:val="24"/>
        </w:rPr>
        <w:t>actually used</w:t>
      </w:r>
      <w:proofErr w:type="gramEnd"/>
      <w:r w:rsidR="00A05E18" w:rsidRPr="00A05E18">
        <w:rPr>
          <w:bCs/>
          <w:sz w:val="24"/>
          <w:szCs w:val="24"/>
        </w:rPr>
        <w:t xml:space="preserve"> performing professional services and agreed to in advance.</w:t>
      </w:r>
    </w:p>
    <w:p w14:paraId="0B282DC8" w14:textId="77777777" w:rsidR="00A05E18" w:rsidRPr="00A05E18" w:rsidRDefault="00A05E18" w:rsidP="00A05E18">
      <w:pPr>
        <w:tabs>
          <w:tab w:val="left" w:pos="1440"/>
        </w:tabs>
        <w:ind w:left="1440" w:hanging="720"/>
        <w:rPr>
          <w:bCs/>
          <w:sz w:val="24"/>
          <w:szCs w:val="24"/>
        </w:rPr>
      </w:pPr>
    </w:p>
    <w:p w14:paraId="1F70F6C0" w14:textId="40D9C2C1" w:rsidR="00A05E18" w:rsidRPr="00A05E18" w:rsidRDefault="009459D8" w:rsidP="00A05E18">
      <w:pPr>
        <w:tabs>
          <w:tab w:val="left" w:pos="1440"/>
        </w:tabs>
        <w:ind w:left="1440" w:hanging="720"/>
        <w:rPr>
          <w:bCs/>
          <w:sz w:val="24"/>
          <w:szCs w:val="24"/>
        </w:rPr>
      </w:pPr>
      <w:r>
        <w:rPr>
          <w:bCs/>
          <w:sz w:val="24"/>
          <w:szCs w:val="24"/>
        </w:rPr>
        <w:t>F.</w:t>
      </w:r>
      <w:r w:rsidR="00A05E18" w:rsidRPr="00A05E18">
        <w:rPr>
          <w:bCs/>
          <w:sz w:val="24"/>
          <w:szCs w:val="24"/>
        </w:rPr>
        <w:tab/>
        <w:t>The Office will not pay for:</w:t>
      </w:r>
    </w:p>
    <w:p w14:paraId="4BB6D3DB" w14:textId="731E3ACD" w:rsidR="00A05E18" w:rsidRPr="00A05E18" w:rsidRDefault="00A05E18" w:rsidP="10F386C1">
      <w:pPr>
        <w:pStyle w:val="ListParagraph"/>
        <w:numPr>
          <w:ilvl w:val="0"/>
          <w:numId w:val="41"/>
        </w:numPr>
        <w:tabs>
          <w:tab w:val="left" w:pos="2160"/>
        </w:tabs>
        <w:ind w:left="2160"/>
        <w:rPr>
          <w:rFonts w:ascii="Times New Roman" w:hAnsi="Times New Roman"/>
        </w:rPr>
      </w:pPr>
      <w:r w:rsidRPr="10F386C1">
        <w:rPr>
          <w:rFonts w:ascii="Times New Roman" w:hAnsi="Times New Roman"/>
        </w:rPr>
        <w:t xml:space="preserve">Fees for the training of personnel incurred </w:t>
      </w:r>
      <w:proofErr w:type="gramStart"/>
      <w:r w:rsidRPr="10F386C1">
        <w:rPr>
          <w:rFonts w:ascii="Times New Roman" w:hAnsi="Times New Roman"/>
        </w:rPr>
        <w:t>as a result of</w:t>
      </w:r>
      <w:proofErr w:type="gramEnd"/>
      <w:r w:rsidRPr="10F386C1">
        <w:rPr>
          <w:rFonts w:ascii="Times New Roman" w:hAnsi="Times New Roman"/>
        </w:rPr>
        <w:t xml:space="preserve"> staffing changes or increases during the term of the </w:t>
      </w:r>
      <w:r w:rsidR="02E09FB6" w:rsidRPr="10F386C1">
        <w:rPr>
          <w:rFonts w:ascii="Times New Roman" w:hAnsi="Times New Roman"/>
        </w:rPr>
        <w:t>contract.</w:t>
      </w:r>
    </w:p>
    <w:p w14:paraId="3FEA4390" w14:textId="3B97A5B0" w:rsidR="00A05E18" w:rsidRPr="00A05E18" w:rsidRDefault="00A05E18" w:rsidP="10F386C1">
      <w:pPr>
        <w:pStyle w:val="ListParagraph"/>
        <w:numPr>
          <w:ilvl w:val="0"/>
          <w:numId w:val="41"/>
        </w:numPr>
        <w:tabs>
          <w:tab w:val="left" w:pos="2160"/>
        </w:tabs>
        <w:ind w:left="2160"/>
        <w:rPr>
          <w:rFonts w:ascii="Times New Roman" w:hAnsi="Times New Roman"/>
        </w:rPr>
      </w:pPr>
      <w:r w:rsidRPr="10F386C1">
        <w:rPr>
          <w:rFonts w:ascii="Times New Roman" w:hAnsi="Times New Roman"/>
        </w:rPr>
        <w:t xml:space="preserve">Fees for time spent educating junior professionals or </w:t>
      </w:r>
      <w:r w:rsidR="597C1819" w:rsidRPr="10F386C1">
        <w:rPr>
          <w:rFonts w:ascii="Times New Roman" w:hAnsi="Times New Roman"/>
        </w:rPr>
        <w:t>associates.</w:t>
      </w:r>
    </w:p>
    <w:p w14:paraId="192EBE56" w14:textId="51DCB1A7" w:rsidR="00A05E18" w:rsidRPr="00A05E18" w:rsidRDefault="00A05E18" w:rsidP="10F386C1">
      <w:pPr>
        <w:pStyle w:val="ListParagraph"/>
        <w:numPr>
          <w:ilvl w:val="0"/>
          <w:numId w:val="41"/>
        </w:numPr>
        <w:tabs>
          <w:tab w:val="left" w:pos="2160"/>
        </w:tabs>
        <w:ind w:left="2160"/>
        <w:rPr>
          <w:rFonts w:ascii="Times New Roman" w:hAnsi="Times New Roman"/>
        </w:rPr>
      </w:pPr>
      <w:r w:rsidRPr="10F386C1">
        <w:rPr>
          <w:rFonts w:ascii="Times New Roman" w:hAnsi="Times New Roman"/>
        </w:rPr>
        <w:t xml:space="preserve">Fees for more than ten hours of work per day for any </w:t>
      </w:r>
      <w:r w:rsidR="16F03743" w:rsidRPr="10F386C1">
        <w:rPr>
          <w:rFonts w:ascii="Times New Roman" w:hAnsi="Times New Roman"/>
        </w:rPr>
        <w:t>individual.</w:t>
      </w:r>
    </w:p>
    <w:p w14:paraId="3148A69C" w14:textId="77777777" w:rsidR="00A05E18" w:rsidRPr="00A05E18" w:rsidRDefault="00A05E18" w:rsidP="00A05E18">
      <w:pPr>
        <w:pStyle w:val="ListParagraph"/>
        <w:numPr>
          <w:ilvl w:val="0"/>
          <w:numId w:val="41"/>
        </w:numPr>
        <w:tabs>
          <w:tab w:val="left" w:pos="2160"/>
        </w:tabs>
        <w:ind w:left="2160"/>
        <w:rPr>
          <w:rFonts w:ascii="Times New Roman" w:hAnsi="Times New Roman"/>
          <w:bCs/>
        </w:rPr>
      </w:pPr>
      <w:r w:rsidRPr="00A05E18">
        <w:rPr>
          <w:rFonts w:ascii="Times New Roman" w:hAnsi="Times New Roman"/>
          <w:bCs/>
        </w:rPr>
        <w:t>Local telephone expenses or office supply costs; and</w:t>
      </w:r>
    </w:p>
    <w:p w14:paraId="4B2C7F72" w14:textId="77777777" w:rsidR="00A05E18" w:rsidRPr="00A05E18" w:rsidRDefault="00A05E18" w:rsidP="00A05E18">
      <w:pPr>
        <w:pStyle w:val="ListParagraph"/>
        <w:numPr>
          <w:ilvl w:val="0"/>
          <w:numId w:val="41"/>
        </w:numPr>
        <w:tabs>
          <w:tab w:val="left" w:pos="2160"/>
        </w:tabs>
        <w:ind w:left="2160"/>
        <w:rPr>
          <w:rFonts w:ascii="Times New Roman" w:hAnsi="Times New Roman"/>
          <w:bCs/>
        </w:rPr>
      </w:pPr>
      <w:r w:rsidRPr="00A05E18">
        <w:rPr>
          <w:rFonts w:ascii="Times New Roman" w:hAnsi="Times New Roman"/>
          <w:bCs/>
        </w:rPr>
        <w:t>The costs of first-class travel (travel arrangements should be made in advance to take advantage of cost-effective discounts or special rates).</w:t>
      </w:r>
    </w:p>
    <w:p w14:paraId="05220AEA" w14:textId="77777777" w:rsidR="00A05E18" w:rsidRPr="00A05E18" w:rsidRDefault="00A05E18" w:rsidP="00A05E18">
      <w:pPr>
        <w:pStyle w:val="ListParagraph"/>
        <w:tabs>
          <w:tab w:val="left" w:pos="2160"/>
        </w:tabs>
        <w:ind w:left="2160"/>
        <w:rPr>
          <w:rFonts w:ascii="Times New Roman" w:hAnsi="Times New Roman"/>
          <w:bCs/>
        </w:rPr>
      </w:pPr>
    </w:p>
    <w:p w14:paraId="28C7516D" w14:textId="69C94503" w:rsidR="00287E94" w:rsidRDefault="009459D8" w:rsidP="00A05E18">
      <w:pPr>
        <w:tabs>
          <w:tab w:val="left" w:pos="1440"/>
        </w:tabs>
        <w:ind w:left="1440" w:hanging="720"/>
        <w:rPr>
          <w:bCs/>
          <w:sz w:val="24"/>
          <w:szCs w:val="24"/>
        </w:rPr>
      </w:pPr>
      <w:r>
        <w:rPr>
          <w:bCs/>
          <w:sz w:val="24"/>
          <w:szCs w:val="24"/>
        </w:rPr>
        <w:t>G.</w:t>
      </w:r>
      <w:r w:rsidR="00A05E18" w:rsidRPr="00A05E18">
        <w:rPr>
          <w:bCs/>
          <w:sz w:val="24"/>
          <w:szCs w:val="24"/>
        </w:rPr>
        <w:tab/>
        <w:t>Reimbursement of reasonable out-of-pocket expenses (e.g. airfare, per diem, conference line charges, postage, delivery service charges and transcript preparation) incurred for relevant expenses related to services performed on behalf of the Office will be at cost up to any agreed upon maximum cost and must be agreed to by the Office prior to the expenses being incurred.</w:t>
      </w:r>
    </w:p>
    <w:p w14:paraId="30C96706" w14:textId="77777777" w:rsidR="00622794" w:rsidRPr="00A05E18" w:rsidRDefault="00622794" w:rsidP="00A05E18">
      <w:pPr>
        <w:tabs>
          <w:tab w:val="left" w:pos="1440"/>
        </w:tabs>
        <w:ind w:left="1440" w:hanging="720"/>
        <w:rPr>
          <w:bCs/>
          <w:sz w:val="24"/>
          <w:szCs w:val="24"/>
        </w:rPr>
      </w:pPr>
    </w:p>
    <w:p w14:paraId="417E41CB" w14:textId="77777777" w:rsidR="00104A2B" w:rsidRPr="00A05E18" w:rsidRDefault="00104A2B" w:rsidP="004211DE">
      <w:pPr>
        <w:pStyle w:val="Heading3"/>
      </w:pPr>
      <w:r w:rsidRPr="00A05E18">
        <w:t>Presentations</w:t>
      </w:r>
    </w:p>
    <w:p w14:paraId="23AEE4C3" w14:textId="77777777" w:rsidR="00104A2B" w:rsidRPr="00A05E18" w:rsidRDefault="00104A2B" w:rsidP="00104A2B">
      <w:pPr>
        <w:rPr>
          <w:sz w:val="24"/>
          <w:szCs w:val="24"/>
        </w:rPr>
      </w:pPr>
    </w:p>
    <w:p w14:paraId="078AC26B" w14:textId="4C737F2C" w:rsidR="00104A2B" w:rsidRPr="00A05E18" w:rsidRDefault="00104A2B" w:rsidP="00104A2B">
      <w:pPr>
        <w:pStyle w:val="Heading4"/>
        <w:rPr>
          <w:sz w:val="24"/>
        </w:rPr>
      </w:pPr>
      <w:r w:rsidRPr="00A05E18">
        <w:rPr>
          <w:sz w:val="24"/>
        </w:rPr>
        <w:t>Following evaluation and scoring specified above, the State may require vendors to make a presentation of their proposal to the evaluation committee or other State staff, as applicable.</w:t>
      </w:r>
    </w:p>
    <w:p w14:paraId="71513179" w14:textId="136E3BC8" w:rsidR="00104A2B" w:rsidRPr="00155376" w:rsidRDefault="00104A2B" w:rsidP="00104A2B">
      <w:pPr>
        <w:pStyle w:val="Heading4"/>
        <w:rPr>
          <w:sz w:val="24"/>
          <w:szCs w:val="32"/>
        </w:rPr>
      </w:pPr>
      <w:r w:rsidRPr="00A05E18">
        <w:rPr>
          <w:sz w:val="24"/>
        </w:rPr>
        <w:t>The State, at its option</w:t>
      </w:r>
      <w:r w:rsidRPr="00155376">
        <w:rPr>
          <w:sz w:val="24"/>
          <w:szCs w:val="32"/>
        </w:rPr>
        <w:t>, may limit participation in vendor presentations to vendors above a natural break in relative scores from technical and cost scores.</w:t>
      </w:r>
    </w:p>
    <w:p w14:paraId="52E3EE69" w14:textId="76C2E6C4" w:rsidR="00104A2B" w:rsidRPr="00155376" w:rsidRDefault="00104A2B" w:rsidP="00104A2B">
      <w:pPr>
        <w:pStyle w:val="Heading4"/>
        <w:rPr>
          <w:sz w:val="24"/>
          <w:szCs w:val="32"/>
        </w:rPr>
      </w:pPr>
      <w:r w:rsidRPr="00155376">
        <w:rPr>
          <w:sz w:val="24"/>
          <w:szCs w:val="32"/>
        </w:rPr>
        <w:t>Following presentations, the combined technical, cost, and presentation scores will become the final score for a proposal.</w:t>
      </w:r>
    </w:p>
    <w:p w14:paraId="0D3E0AF0" w14:textId="77777777" w:rsidR="00104A2B" w:rsidRPr="00155376" w:rsidRDefault="00104A2B" w:rsidP="00104A2B">
      <w:pPr>
        <w:pStyle w:val="Heading4"/>
        <w:rPr>
          <w:sz w:val="24"/>
          <w:szCs w:val="32"/>
        </w:rPr>
      </w:pPr>
      <w:r w:rsidRPr="00155376">
        <w:rPr>
          <w:sz w:val="24"/>
          <w:szCs w:val="32"/>
        </w:rPr>
        <w:t>The State reserves the right to add additional criteria or presentations.</w:t>
      </w:r>
    </w:p>
    <w:p w14:paraId="20365608" w14:textId="77777777" w:rsidR="00104A2B" w:rsidRPr="00155376" w:rsidRDefault="00104A2B" w:rsidP="00104A2B">
      <w:pPr>
        <w:pStyle w:val="Heading4"/>
        <w:rPr>
          <w:sz w:val="24"/>
          <w:szCs w:val="32"/>
        </w:rPr>
      </w:pPr>
      <w:r w:rsidRPr="00155376">
        <w:rPr>
          <w:sz w:val="24"/>
          <w:szCs w:val="32"/>
        </w:rPr>
        <w:t>The State reserves the right to forego vendor presentations and select vendor(s) based on the written proposals submitted.</w:t>
      </w:r>
    </w:p>
    <w:p w14:paraId="5F8F3743" w14:textId="77777777" w:rsidR="00104A2B" w:rsidRPr="00155376" w:rsidRDefault="00104A2B" w:rsidP="00104A2B">
      <w:pPr>
        <w:rPr>
          <w:sz w:val="24"/>
          <w:szCs w:val="24"/>
        </w:rPr>
      </w:pPr>
    </w:p>
    <w:p w14:paraId="1E11A633" w14:textId="36E57403" w:rsidR="009F518D" w:rsidRPr="00155376" w:rsidRDefault="00B37D22" w:rsidP="00516454">
      <w:pPr>
        <w:pStyle w:val="Heading2"/>
      </w:pPr>
      <w:r w:rsidRPr="00155376">
        <w:t>NEVADA-BASED BUSINESS PREFERENCE</w:t>
      </w:r>
    </w:p>
    <w:p w14:paraId="3DC8F7BF" w14:textId="77777777" w:rsidR="009F518D" w:rsidRPr="00155376" w:rsidRDefault="009F518D" w:rsidP="009F518D">
      <w:pPr>
        <w:rPr>
          <w:sz w:val="24"/>
          <w:szCs w:val="24"/>
        </w:rPr>
      </w:pPr>
    </w:p>
    <w:p w14:paraId="2848F95F" w14:textId="02C43F9C" w:rsidR="00B37D22" w:rsidRPr="00155376" w:rsidRDefault="00B37D22" w:rsidP="004211DE">
      <w:pPr>
        <w:pStyle w:val="Heading3"/>
      </w:pPr>
      <w:r w:rsidRPr="00155376">
        <w:t>The State awards a five percent (5%) preference to Nevada-based businesses pursuant to NRS 333.3351 to 333.3356, inclusive.</w:t>
      </w:r>
    </w:p>
    <w:p w14:paraId="1293728D" w14:textId="77777777" w:rsidR="00B37D22" w:rsidRPr="00155376" w:rsidRDefault="00B37D22" w:rsidP="004211DE">
      <w:pPr>
        <w:pStyle w:val="Heading3"/>
      </w:pPr>
      <w:r w:rsidRPr="00155376">
        <w:t>Nevada-based business is defined in NRS 333.3352(1).</w:t>
      </w:r>
    </w:p>
    <w:p w14:paraId="3D9E582D" w14:textId="77777777" w:rsidR="00B37D22" w:rsidRPr="00155376" w:rsidRDefault="00B37D22" w:rsidP="004211DE">
      <w:pPr>
        <w:pStyle w:val="Heading3"/>
      </w:pPr>
      <w:r w:rsidRPr="00155376">
        <w:t>The term ‘principal place of business’ has the meaning outlined by the United States Supreme Court in Hertz Corp v. Friend, 559 U.S. 77 (2010), typically meaning a business’s corporate headquarters.</w:t>
      </w:r>
    </w:p>
    <w:p w14:paraId="7EA97EBA" w14:textId="7ADCC3FA" w:rsidR="00B37D22" w:rsidRPr="00155376" w:rsidRDefault="00B37D22" w:rsidP="004211DE">
      <w:pPr>
        <w:pStyle w:val="Heading3"/>
      </w:pPr>
      <w:r w:rsidRPr="00155376">
        <w:t xml:space="preserve">To claim this preference a vendor must indicate it on their vendor account and submitted Quote in </w:t>
      </w:r>
      <w:r w:rsidR="00B526A2">
        <w:t>the Cost Proposal.</w:t>
      </w:r>
    </w:p>
    <w:p w14:paraId="476F913E" w14:textId="77777777" w:rsidR="00B37D22" w:rsidRPr="00155376" w:rsidRDefault="00B37D22" w:rsidP="004211DE">
      <w:pPr>
        <w:pStyle w:val="Heading3"/>
      </w:pPr>
      <w:r w:rsidRPr="00155376">
        <w:t>This preference cannot be combined with any other preference, granted for the award of a contract using federal funds, or granted for the award of a contract procured on a multi-state basis.</w:t>
      </w:r>
    </w:p>
    <w:p w14:paraId="1E23D21D" w14:textId="77777777" w:rsidR="00B37D22" w:rsidRPr="00155376" w:rsidRDefault="00B37D22" w:rsidP="00B37D22">
      <w:pPr>
        <w:ind w:right="54"/>
        <w:rPr>
          <w:sz w:val="24"/>
          <w:szCs w:val="24"/>
        </w:rPr>
      </w:pPr>
    </w:p>
    <w:p w14:paraId="2BD66B70" w14:textId="4105F5A4" w:rsidR="00C0347B" w:rsidRPr="00155376" w:rsidRDefault="00C0347B" w:rsidP="00A33A03">
      <w:pPr>
        <w:pStyle w:val="Heading1"/>
        <w:rPr>
          <w:rFonts w:ascii="Times New Roman" w:hAnsi="Times New Roman"/>
          <w:sz w:val="24"/>
          <w:szCs w:val="24"/>
        </w:rPr>
      </w:pPr>
      <w:bookmarkStart w:id="30" w:name="_Toc160719743"/>
      <w:r w:rsidRPr="00155376">
        <w:rPr>
          <w:rFonts w:ascii="Times New Roman" w:hAnsi="Times New Roman"/>
          <w:sz w:val="24"/>
          <w:szCs w:val="24"/>
        </w:rPr>
        <w:t xml:space="preserve">MANDATORY </w:t>
      </w:r>
      <w:r w:rsidR="00CF52F6" w:rsidRPr="00155376">
        <w:rPr>
          <w:rFonts w:ascii="Times New Roman" w:hAnsi="Times New Roman"/>
          <w:sz w:val="24"/>
          <w:szCs w:val="24"/>
        </w:rPr>
        <w:t>MINIMUM REQUIREMENTS</w:t>
      </w:r>
      <w:bookmarkEnd w:id="21"/>
      <w:bookmarkEnd w:id="22"/>
      <w:bookmarkEnd w:id="30"/>
    </w:p>
    <w:p w14:paraId="5F50D9BF" w14:textId="3BBE67A1" w:rsidR="00C0347B" w:rsidRPr="00155376" w:rsidRDefault="00C0347B" w:rsidP="00C371BD">
      <w:pPr>
        <w:rPr>
          <w:sz w:val="24"/>
          <w:szCs w:val="24"/>
        </w:rPr>
      </w:pPr>
    </w:p>
    <w:p w14:paraId="129A4CE7" w14:textId="704CB7E5" w:rsidR="00C0347B" w:rsidRPr="00155376" w:rsidRDefault="007133E8" w:rsidP="00516454">
      <w:pPr>
        <w:pStyle w:val="Heading2"/>
      </w:pPr>
      <w:r w:rsidRPr="00155376">
        <w:t>Pursuant to NRS 333.3</w:t>
      </w:r>
      <w:r w:rsidR="00E91F29" w:rsidRPr="00155376">
        <w:t>1</w:t>
      </w:r>
      <w:r w:rsidRPr="00155376">
        <w:t xml:space="preserve">1 a contact cannot be awarded to a </w:t>
      </w:r>
      <w:r w:rsidR="009033CE" w:rsidRPr="00155376">
        <w:t>proposal that</w:t>
      </w:r>
      <w:r w:rsidRPr="00155376">
        <w:t xml:space="preserve"> does not comply with the requirements listed in this section.</w:t>
      </w:r>
      <w:r w:rsidR="001658B9" w:rsidRPr="00155376">
        <w:t xml:space="preserve"> Proposal shall include confirmation of compliance with all mandatory minimum requirements.</w:t>
      </w:r>
    </w:p>
    <w:p w14:paraId="5F4D5F5F" w14:textId="77777777" w:rsidR="00C25667" w:rsidRDefault="00C25667" w:rsidP="00C371BD">
      <w:pPr>
        <w:rPr>
          <w:sz w:val="24"/>
          <w:szCs w:val="24"/>
        </w:rPr>
      </w:pPr>
    </w:p>
    <w:p w14:paraId="1BF3509F" w14:textId="77777777" w:rsidR="00622794" w:rsidRDefault="00622794" w:rsidP="00C371BD">
      <w:pPr>
        <w:rPr>
          <w:sz w:val="24"/>
          <w:szCs w:val="24"/>
        </w:rPr>
      </w:pPr>
    </w:p>
    <w:p w14:paraId="2C4D197B" w14:textId="77777777" w:rsidR="00622794" w:rsidRPr="00155376" w:rsidRDefault="00622794" w:rsidP="00C371BD">
      <w:pPr>
        <w:rPr>
          <w:sz w:val="24"/>
          <w:szCs w:val="24"/>
        </w:rPr>
      </w:pPr>
    </w:p>
    <w:p w14:paraId="477DBECA" w14:textId="2D12AA1B" w:rsidR="00323303" w:rsidRPr="00155376" w:rsidRDefault="006245FC" w:rsidP="00516454">
      <w:pPr>
        <w:pStyle w:val="Heading2"/>
      </w:pPr>
      <w:r w:rsidRPr="00155376">
        <w:lastRenderedPageBreak/>
        <w:t xml:space="preserve">NEVADA LAW AND STATE INDEMNITY. </w:t>
      </w:r>
      <w:r w:rsidR="00323303" w:rsidRPr="00155376">
        <w:t xml:space="preserve">Pursuant to </w:t>
      </w:r>
      <w:r w:rsidR="00C058D2" w:rsidRPr="00155376">
        <w:t>NRS 333.339</w:t>
      </w:r>
      <w:r w:rsidR="00323303" w:rsidRPr="00155376">
        <w:t>, any contract that is entered into may not: (1) Require the filing of any action or the arbitration of any dispute that arises from the contract to be instituted or heard in another state or nation; or (2) Require the State to indemnify another party against liability for damages.</w:t>
      </w:r>
    </w:p>
    <w:p w14:paraId="394C3FBB" w14:textId="464B9773" w:rsidR="00323303" w:rsidRDefault="00323303" w:rsidP="00323303">
      <w:pPr>
        <w:rPr>
          <w:sz w:val="24"/>
          <w:szCs w:val="24"/>
        </w:rPr>
      </w:pPr>
    </w:p>
    <w:p w14:paraId="5CFDEC92" w14:textId="415275CC" w:rsidR="00323303" w:rsidRPr="00155376" w:rsidRDefault="006245FC" w:rsidP="00516454">
      <w:pPr>
        <w:pStyle w:val="Heading2"/>
      </w:pPr>
      <w:r w:rsidRPr="00155376">
        <w:t xml:space="preserve">NO BOYCOTT OF ISRAEL. </w:t>
      </w:r>
      <w:r w:rsidR="00323303" w:rsidRPr="00155376">
        <w:t xml:space="preserve">Pursuant to NRS 333.338, the State of Nevada cannot enter a contract with a company unless that company agrees for the duration of the contract not to engage in a boycott of Israel. By submitting a proposal or bid, vendor agrees that if it is awarded a </w:t>
      </w:r>
      <w:r w:rsidR="009E1A18" w:rsidRPr="00155376">
        <w:t>contract,</w:t>
      </w:r>
      <w:r w:rsidR="00323303" w:rsidRPr="00155376">
        <w:t xml:space="preserve"> it will not engage in a boycott of Israel as defined in NRS 333.338(3)(a).</w:t>
      </w:r>
    </w:p>
    <w:p w14:paraId="2CE2C8D6" w14:textId="77777777" w:rsidR="00323303" w:rsidRPr="00155376" w:rsidRDefault="00323303" w:rsidP="00323303">
      <w:pPr>
        <w:rPr>
          <w:sz w:val="24"/>
          <w:szCs w:val="24"/>
        </w:rPr>
      </w:pPr>
    </w:p>
    <w:p w14:paraId="29BFD471" w14:textId="59B76FB7" w:rsidR="00C25667" w:rsidRPr="00155376" w:rsidRDefault="006245FC" w:rsidP="00516454">
      <w:pPr>
        <w:pStyle w:val="Heading2"/>
      </w:pPr>
      <w:r w:rsidRPr="00155376">
        <w:t xml:space="preserve">INDEMNIFICATION. </w:t>
      </w:r>
      <w:r w:rsidR="001658B9" w:rsidRPr="00155376">
        <w:t>R</w:t>
      </w:r>
      <w:r w:rsidR="00C25667" w:rsidRPr="00155376">
        <w:t>equired contract terms on Indemnification: "</w:t>
      </w:r>
      <w:r w:rsidR="00323303" w:rsidRPr="00155376">
        <w:t>To the fullest extent permitted by law, Contractor shall indemnify, hold harmless and defend, not excluding the State’s right to participate, the State from and against all liability, claims, actions, damages, losses, and expenses, including, without limitation, reasonable attorneys’ fees and costs, arising out of any breach of the obligations of Contractor under this contract, or any alleged negligent or willful acts or omissions of Contractor, its officers, employees and agents. Contractor’s obligation to indemnify the State shall apply in all cases except for claims arising solely from the State’s own negligence or willful misconduct. Contractor waives any rights of subrogation against the State. Contractor’s duty to defend begins when the State requests defense of any</w:t>
      </w:r>
      <w:r w:rsidR="00323303" w:rsidRPr="00155376">
        <w:rPr>
          <w:b/>
        </w:rPr>
        <w:t xml:space="preserve"> </w:t>
      </w:r>
      <w:r w:rsidR="00323303" w:rsidRPr="00155376">
        <w:t>claim arising from this Contract.</w:t>
      </w:r>
      <w:r w:rsidR="00C25667" w:rsidRPr="00155376">
        <w:t>"</w:t>
      </w:r>
    </w:p>
    <w:p w14:paraId="2AB61754" w14:textId="26A9C80F" w:rsidR="00C25667" w:rsidRPr="00155376" w:rsidRDefault="00C25667" w:rsidP="00C371BD">
      <w:pPr>
        <w:rPr>
          <w:sz w:val="24"/>
          <w:szCs w:val="24"/>
        </w:rPr>
      </w:pPr>
    </w:p>
    <w:p w14:paraId="5A6CB96B" w14:textId="24AFB297" w:rsidR="00C25667" w:rsidRPr="00155376" w:rsidRDefault="006245FC" w:rsidP="00516454">
      <w:pPr>
        <w:pStyle w:val="Heading2"/>
      </w:pPr>
      <w:r w:rsidRPr="00155376">
        <w:t xml:space="preserve">LIMITED LIABILITY. </w:t>
      </w:r>
      <w:r w:rsidR="001658B9" w:rsidRPr="00155376">
        <w:t>R</w:t>
      </w:r>
      <w:r w:rsidR="001543A1" w:rsidRPr="00155376">
        <w:t>equired contract terms on Limited Liability</w:t>
      </w:r>
      <w:r w:rsidR="00447B89" w:rsidRPr="00155376">
        <w:t>:</w:t>
      </w:r>
      <w:r w:rsidR="001543A1" w:rsidRPr="00155376">
        <w:t xml:space="preserve"> "</w:t>
      </w:r>
      <w:r w:rsidR="00323303" w:rsidRPr="00155376">
        <w:t>The State will not waive and intends to assert available NRS Chapter 41 liability limitations in all cases. Contract liability of both parties shall not be subject to punitive damages. Damages for any State breach shall never exceed the amount of funds appropriated for payment under this Contract, but not yet paid to Contractor, for the Fiscal Year budget in existence at the time of the breach. Contractor’s tort liability shall not be limited.</w:t>
      </w:r>
      <w:r w:rsidR="001543A1" w:rsidRPr="00155376">
        <w:t>"</w:t>
      </w:r>
    </w:p>
    <w:p w14:paraId="3A6E7144" w14:textId="39FC0808" w:rsidR="00447B89" w:rsidRPr="00155376" w:rsidRDefault="00447B89" w:rsidP="00C371BD">
      <w:pPr>
        <w:rPr>
          <w:sz w:val="24"/>
          <w:szCs w:val="24"/>
        </w:rPr>
      </w:pPr>
    </w:p>
    <w:p w14:paraId="7D68F026" w14:textId="6D087019" w:rsidR="008E44AD" w:rsidRPr="00155376" w:rsidRDefault="006245FC" w:rsidP="00516454">
      <w:pPr>
        <w:pStyle w:val="Heading2"/>
      </w:pPr>
      <w:r w:rsidRPr="00155376">
        <w:t>CONTRACT RESPONSIBILITY. A</w:t>
      </w:r>
      <w:r w:rsidR="00E904A3" w:rsidRPr="00155376">
        <w:t xml:space="preserve">warded vendor shall be the sole point of contract responsibility. </w:t>
      </w:r>
      <w:r w:rsidR="008E44AD" w:rsidRPr="00155376">
        <w:t xml:space="preserve">The State shall look solely to the awarded vendor for the performance of all contractual obligations which may result from an award based on this </w:t>
      </w:r>
      <w:r w:rsidR="00D12E1A" w:rsidRPr="00155376">
        <w:t>solicitation</w:t>
      </w:r>
      <w:r w:rsidR="008E44AD" w:rsidRPr="00155376">
        <w:t>, and the awarded vendor shall not be relieved for the non-performance of any or all subcontractors.</w:t>
      </w:r>
    </w:p>
    <w:p w14:paraId="0FAB8209" w14:textId="0886DBC9" w:rsidR="00BD05A2" w:rsidRPr="00155376" w:rsidRDefault="00BD05A2" w:rsidP="008E44AD">
      <w:pPr>
        <w:rPr>
          <w:sz w:val="24"/>
          <w:szCs w:val="24"/>
        </w:rPr>
      </w:pPr>
    </w:p>
    <w:p w14:paraId="28CEAE2A" w14:textId="19815B48" w:rsidR="006410FC" w:rsidRPr="00155376" w:rsidRDefault="006245FC" w:rsidP="00516454">
      <w:pPr>
        <w:pStyle w:val="Heading2"/>
      </w:pPr>
      <w:r w:rsidRPr="00155376">
        <w:t xml:space="preserve">DATA ENCRYPTION. </w:t>
      </w:r>
      <w:r w:rsidR="006410FC" w:rsidRPr="00155376">
        <w:t>State IT require</w:t>
      </w:r>
      <w:r w:rsidR="001658B9" w:rsidRPr="00155376">
        <w:t>s</w:t>
      </w:r>
      <w:r w:rsidR="006410FC" w:rsidRPr="00155376">
        <w:t xml:space="preserve"> that data be encrypted in transit and in rest.</w:t>
      </w:r>
    </w:p>
    <w:p w14:paraId="0D416514" w14:textId="20CF56B5" w:rsidR="006410FC" w:rsidRPr="00155376" w:rsidRDefault="006410FC" w:rsidP="00C371BD">
      <w:pPr>
        <w:rPr>
          <w:sz w:val="24"/>
          <w:szCs w:val="24"/>
        </w:rPr>
      </w:pPr>
    </w:p>
    <w:p w14:paraId="4D3E1833" w14:textId="30D34AF5" w:rsidR="006410FC" w:rsidRPr="00155376" w:rsidRDefault="006245FC" w:rsidP="00516454">
      <w:pPr>
        <w:pStyle w:val="Heading2"/>
      </w:pPr>
      <w:r w:rsidRPr="00155376">
        <w:t xml:space="preserve">STATESIDE DATA. </w:t>
      </w:r>
      <w:r w:rsidR="0061181A" w:rsidRPr="00155376">
        <w:t>State IT require</w:t>
      </w:r>
      <w:r w:rsidR="001658B9" w:rsidRPr="00155376">
        <w:t>s</w:t>
      </w:r>
      <w:r w:rsidR="0061181A" w:rsidRPr="00155376">
        <w:t xml:space="preserve"> that State data assets must be maintained </w:t>
      </w:r>
      <w:r w:rsidR="001658B9" w:rsidRPr="00155376">
        <w:t>in the United States</w:t>
      </w:r>
      <w:r w:rsidR="0061181A" w:rsidRPr="00155376">
        <w:t xml:space="preserve"> and data will not be held offshore.</w:t>
      </w:r>
    </w:p>
    <w:p w14:paraId="1EC6D571" w14:textId="24A3527E" w:rsidR="0029420B" w:rsidRPr="00155376" w:rsidRDefault="0029420B" w:rsidP="00C371BD">
      <w:pPr>
        <w:rPr>
          <w:sz w:val="24"/>
          <w:szCs w:val="24"/>
        </w:rPr>
      </w:pPr>
    </w:p>
    <w:p w14:paraId="28A074D5" w14:textId="62708701" w:rsidR="006245FC" w:rsidRPr="00155376" w:rsidRDefault="006245FC" w:rsidP="00516454">
      <w:pPr>
        <w:pStyle w:val="Heading2"/>
      </w:pPr>
      <w:r w:rsidRPr="00155376">
        <w:t xml:space="preserve">NEVADA BUSINESS LICENSE. Pursuant to NRS 353.007, prior to contract execution awarded vendor must hold a </w:t>
      </w:r>
      <w:r w:rsidR="009E1A18" w:rsidRPr="00155376">
        <w:t>state</w:t>
      </w:r>
      <w:r w:rsidRPr="00155376">
        <w:t xml:space="preserve"> business license pursuant to NRS chapter 76 unless exempted by NRS 76.100(7)(b).</w:t>
      </w:r>
    </w:p>
    <w:p w14:paraId="0208B6A4" w14:textId="77777777" w:rsidR="006245FC" w:rsidRPr="00155376" w:rsidRDefault="006245FC" w:rsidP="00C371BD">
      <w:pPr>
        <w:rPr>
          <w:sz w:val="24"/>
          <w:szCs w:val="24"/>
        </w:rPr>
      </w:pPr>
    </w:p>
    <w:p w14:paraId="3B074868" w14:textId="58167077" w:rsidR="0029420B" w:rsidRPr="00155376" w:rsidRDefault="006245FC" w:rsidP="00516454">
      <w:pPr>
        <w:pStyle w:val="Heading2"/>
      </w:pPr>
      <w:r w:rsidRPr="00155376">
        <w:t xml:space="preserve">DISCLOSURE. </w:t>
      </w:r>
      <w:r w:rsidR="0029420B" w:rsidRPr="00155376">
        <w:t>Each vendor shall include in its proposal a complete disclosure of any alleged significant prior or ongoing contract failures, contract breaches, any civil or criminal litigation or investigations pending which involves the vendor or in which the vendor has been judged guilty or liable.</w:t>
      </w:r>
    </w:p>
    <w:p w14:paraId="4FF66203" w14:textId="77777777" w:rsidR="00430FAF" w:rsidRDefault="00430FAF" w:rsidP="00430FAF">
      <w:pPr>
        <w:rPr>
          <w:sz w:val="24"/>
          <w:szCs w:val="24"/>
        </w:rPr>
      </w:pPr>
    </w:p>
    <w:p w14:paraId="74A55858" w14:textId="77777777" w:rsidR="00A2470A" w:rsidRDefault="00A2470A" w:rsidP="00430FAF">
      <w:pPr>
        <w:rPr>
          <w:sz w:val="24"/>
          <w:szCs w:val="24"/>
        </w:rPr>
      </w:pPr>
    </w:p>
    <w:p w14:paraId="23FFEE7F" w14:textId="77777777" w:rsidR="00A2470A" w:rsidRDefault="00A2470A" w:rsidP="00430FAF">
      <w:pPr>
        <w:rPr>
          <w:sz w:val="24"/>
          <w:szCs w:val="24"/>
        </w:rPr>
      </w:pPr>
    </w:p>
    <w:p w14:paraId="1006522D" w14:textId="77777777" w:rsidR="00A2470A" w:rsidRDefault="00A2470A" w:rsidP="00430FAF">
      <w:pPr>
        <w:rPr>
          <w:sz w:val="24"/>
          <w:szCs w:val="24"/>
        </w:rPr>
      </w:pPr>
    </w:p>
    <w:p w14:paraId="781DAA3B" w14:textId="77777777" w:rsidR="00A2470A" w:rsidRDefault="00A2470A" w:rsidP="00430FAF">
      <w:pPr>
        <w:rPr>
          <w:sz w:val="24"/>
          <w:szCs w:val="24"/>
        </w:rPr>
      </w:pPr>
    </w:p>
    <w:p w14:paraId="6BDF0BE3" w14:textId="7C7D3654" w:rsidR="007133E8" w:rsidRPr="00155376" w:rsidRDefault="004D7D81" w:rsidP="00A33A03">
      <w:pPr>
        <w:pStyle w:val="Heading1"/>
        <w:rPr>
          <w:rFonts w:ascii="Times New Roman" w:hAnsi="Times New Roman"/>
          <w:sz w:val="24"/>
          <w:szCs w:val="24"/>
        </w:rPr>
      </w:pPr>
      <w:bookmarkStart w:id="31" w:name="_Toc70363818"/>
      <w:bookmarkStart w:id="32" w:name="_Toc70367353"/>
      <w:bookmarkStart w:id="33" w:name="_Toc160719744"/>
      <w:r w:rsidRPr="00155376">
        <w:rPr>
          <w:rFonts w:ascii="Times New Roman" w:hAnsi="Times New Roman"/>
          <w:sz w:val="24"/>
          <w:szCs w:val="24"/>
        </w:rPr>
        <w:lastRenderedPageBreak/>
        <w:t>CRITICAL ITEMS</w:t>
      </w:r>
      <w:bookmarkEnd w:id="31"/>
      <w:bookmarkEnd w:id="32"/>
      <w:bookmarkEnd w:id="33"/>
    </w:p>
    <w:p w14:paraId="2717C761" w14:textId="5648A11D" w:rsidR="004D7D81" w:rsidRPr="00155376" w:rsidRDefault="004D7D81" w:rsidP="00C371BD">
      <w:pPr>
        <w:rPr>
          <w:sz w:val="24"/>
          <w:szCs w:val="24"/>
        </w:rPr>
      </w:pPr>
    </w:p>
    <w:p w14:paraId="78AF30DD" w14:textId="11F82E59" w:rsidR="000B0713" w:rsidRPr="00155376" w:rsidRDefault="003D2C7F" w:rsidP="00516454">
      <w:pPr>
        <w:pStyle w:val="Heading2"/>
      </w:pPr>
      <w:r w:rsidRPr="00155376">
        <w:t xml:space="preserve">In addition to the </w:t>
      </w:r>
      <w:r w:rsidRPr="00155376">
        <w:rPr>
          <w:i/>
          <w:iCs/>
        </w:rPr>
        <w:t>Scope of Work</w:t>
      </w:r>
      <w:r w:rsidR="00281323" w:rsidRPr="00155376">
        <w:t xml:space="preserve"> and </w:t>
      </w:r>
      <w:r w:rsidR="00281323" w:rsidRPr="00155376">
        <w:rPr>
          <w:i/>
          <w:iCs/>
        </w:rPr>
        <w:t>Attachments</w:t>
      </w:r>
      <w:r w:rsidRPr="00155376">
        <w:t>, t</w:t>
      </w:r>
      <w:r w:rsidR="004D7D81" w:rsidRPr="00155376">
        <w:t>he items listed in this section are critical to the success of the project</w:t>
      </w:r>
      <w:r w:rsidR="00A42319" w:rsidRPr="00155376">
        <w:t>. These items will be used in evaluating and scoring the proposal</w:t>
      </w:r>
      <w:r w:rsidR="00BE398E" w:rsidRPr="00155376">
        <w:t xml:space="preserve">. </w:t>
      </w:r>
      <w:r w:rsidR="000B0713" w:rsidRPr="00155376">
        <w:t xml:space="preserve">Vendor proposal should address items in this section in </w:t>
      </w:r>
      <w:r w:rsidR="00A06F83" w:rsidRPr="00155376">
        <w:t>enough</w:t>
      </w:r>
      <w:r w:rsidR="000B0713" w:rsidRPr="00155376">
        <w:t xml:space="preserve"> detail to provide evaluators an accurate understanding of </w:t>
      </w:r>
      <w:r w:rsidR="00CD7AE2" w:rsidRPr="00155376">
        <w:t>vendor</w:t>
      </w:r>
      <w:r w:rsidR="000B0713" w:rsidRPr="00155376">
        <w:t xml:space="preserve"> capabilities.</w:t>
      </w:r>
      <w:r w:rsidR="00CA42A7" w:rsidRPr="00155376">
        <w:t xml:space="preserve"> </w:t>
      </w:r>
      <w:r w:rsidR="000E3DFD" w:rsidRPr="00155376">
        <w:t xml:space="preserve">Proposals that </w:t>
      </w:r>
      <w:r w:rsidR="001530A7" w:rsidRPr="00155376">
        <w:t xml:space="preserve">fail to sufficiently respond to these items </w:t>
      </w:r>
      <w:r w:rsidR="000E3DFD" w:rsidRPr="00155376">
        <w:t>may be considered non-responsive</w:t>
      </w:r>
      <w:r w:rsidR="001530A7" w:rsidRPr="00155376">
        <w:t>.</w:t>
      </w:r>
    </w:p>
    <w:p w14:paraId="3223BD11" w14:textId="77777777" w:rsidR="0025181B" w:rsidRPr="00155376" w:rsidRDefault="0025181B" w:rsidP="00C371BD">
      <w:pPr>
        <w:rPr>
          <w:sz w:val="24"/>
          <w:szCs w:val="24"/>
        </w:rPr>
      </w:pPr>
    </w:p>
    <w:p w14:paraId="53B17190" w14:textId="148D18AC" w:rsidR="007574FF" w:rsidRPr="00155376" w:rsidRDefault="006C59E6" w:rsidP="00516454">
      <w:pPr>
        <w:pStyle w:val="Heading2"/>
      </w:pPr>
      <w:r w:rsidRPr="00155376">
        <w:t>CONTRACT FORM</w:t>
      </w:r>
      <w:r w:rsidR="0037204D" w:rsidRPr="00155376">
        <w:rPr>
          <w:i/>
          <w:iCs/>
        </w:rPr>
        <w:t xml:space="preserve">. </w:t>
      </w:r>
      <w:r w:rsidR="007574FF" w:rsidRPr="00155376">
        <w:t>The State strongly prefers vendors</w:t>
      </w:r>
      <w:r w:rsidR="00781A9C" w:rsidRPr="00155376">
        <w:t xml:space="preserve"> agree t</w:t>
      </w:r>
      <w:r w:rsidR="00E25B90" w:rsidRPr="00155376">
        <w:t xml:space="preserve">o the terms of the attached </w:t>
      </w:r>
      <w:r w:rsidR="00E25B90" w:rsidRPr="00155376">
        <w:rPr>
          <w:i/>
          <w:iCs/>
        </w:rPr>
        <w:t>Contract Form</w:t>
      </w:r>
      <w:r w:rsidR="00E25B90" w:rsidRPr="00155376">
        <w:t xml:space="preserve"> as is.</w:t>
      </w:r>
      <w:r w:rsidR="007574FF" w:rsidRPr="00155376">
        <w:t xml:space="preserve"> </w:t>
      </w:r>
      <w:r w:rsidR="00652786" w:rsidRPr="00155376">
        <w:t>A</w:t>
      </w:r>
      <w:r w:rsidR="007574FF" w:rsidRPr="00155376">
        <w:t xml:space="preserve">bility to agree to contract terms is a high priority to the State. Vendors who cannot agree to the contract as is must include a redlined Word version of the attached </w:t>
      </w:r>
      <w:r w:rsidR="007574FF" w:rsidRPr="00155376">
        <w:rPr>
          <w:i/>
          <w:iCs/>
        </w:rPr>
        <w:t>Contract Form</w:t>
      </w:r>
      <w:r w:rsidR="007574FF" w:rsidRPr="00155376">
        <w:t xml:space="preserve"> with their proposal response.</w:t>
      </w:r>
      <w:r w:rsidR="00AB4168" w:rsidRPr="00155376">
        <w:t xml:space="preserve"> To the extent a vendor has prior contractual dealings with the State, no assumption should be made that terms outside those provided herein have any influence on this project.</w:t>
      </w:r>
    </w:p>
    <w:p w14:paraId="18179F4F" w14:textId="77777777" w:rsidR="007574FF" w:rsidRPr="00155376" w:rsidRDefault="007574FF" w:rsidP="00C371BD">
      <w:pPr>
        <w:rPr>
          <w:sz w:val="24"/>
          <w:szCs w:val="24"/>
        </w:rPr>
      </w:pPr>
    </w:p>
    <w:p w14:paraId="5C953301" w14:textId="3F8A0946" w:rsidR="001324B9" w:rsidRPr="00155376" w:rsidRDefault="006C59E6" w:rsidP="00516454">
      <w:pPr>
        <w:pStyle w:val="Heading2"/>
      </w:pPr>
      <w:r w:rsidRPr="00155376">
        <w:t>INSURANCE SCHEDULE</w:t>
      </w:r>
    </w:p>
    <w:p w14:paraId="388CF815" w14:textId="77777777" w:rsidR="001324B9" w:rsidRPr="00155376" w:rsidRDefault="001324B9" w:rsidP="001324B9">
      <w:pPr>
        <w:rPr>
          <w:sz w:val="24"/>
          <w:szCs w:val="24"/>
        </w:rPr>
      </w:pPr>
    </w:p>
    <w:p w14:paraId="480A7C41" w14:textId="64202075" w:rsidR="00973CBD" w:rsidRPr="00155376" w:rsidRDefault="001658B9" w:rsidP="004211DE">
      <w:pPr>
        <w:pStyle w:val="Heading3"/>
      </w:pPr>
      <w:r w:rsidRPr="00155376">
        <w:t xml:space="preserve">The State strongly prefers vendors agree to the terms of the attached </w:t>
      </w:r>
      <w:r w:rsidRPr="00155376">
        <w:rPr>
          <w:i/>
          <w:iCs/>
        </w:rPr>
        <w:t>Insurance Schedule</w:t>
      </w:r>
      <w:r w:rsidRPr="00155376">
        <w:t xml:space="preserve"> as is.</w:t>
      </w:r>
      <w:r w:rsidR="003036E0" w:rsidRPr="00155376">
        <w:t xml:space="preserve"> </w:t>
      </w:r>
      <w:r w:rsidRPr="00155376">
        <w:t>Vendors who cannot agree must</w:t>
      </w:r>
      <w:r w:rsidR="003036E0" w:rsidRPr="00155376">
        <w:t xml:space="preserve"> explain which areas are causing non-compliance</w:t>
      </w:r>
      <w:r w:rsidR="00FC5A83" w:rsidRPr="00155376">
        <w:t xml:space="preserve"> and</w:t>
      </w:r>
      <w:r w:rsidR="003036E0" w:rsidRPr="00155376">
        <w:t xml:space="preserve"> </w:t>
      </w:r>
      <w:r w:rsidR="00FC5A83" w:rsidRPr="00155376">
        <w:t>a</w:t>
      </w:r>
      <w:r w:rsidR="003036E0" w:rsidRPr="00155376">
        <w:t xml:space="preserve">ttach a </w:t>
      </w:r>
      <w:r w:rsidR="000C20FD" w:rsidRPr="00155376">
        <w:t>red line</w:t>
      </w:r>
      <w:r w:rsidR="003036E0" w:rsidRPr="00155376">
        <w:t xml:space="preserve"> if necessary.</w:t>
      </w:r>
    </w:p>
    <w:p w14:paraId="2F37E3EF" w14:textId="3BA69DC1" w:rsidR="006F6504" w:rsidRPr="00155376" w:rsidRDefault="002727A2" w:rsidP="004211DE">
      <w:pPr>
        <w:pStyle w:val="Heading3"/>
      </w:pPr>
      <w:r w:rsidRPr="00155376">
        <w:t>Awarded vendor shall maintain, for the duration of the contract, insurance coverages as set forth in the fully executed contract.</w:t>
      </w:r>
    </w:p>
    <w:p w14:paraId="4F858D24" w14:textId="77777777" w:rsidR="0007400C" w:rsidRPr="00155376" w:rsidRDefault="0007400C" w:rsidP="004211DE">
      <w:pPr>
        <w:pStyle w:val="Heading3"/>
      </w:pPr>
      <w:r w:rsidRPr="00155376">
        <w:t>Work on the contract shall not begin until after the awarded vendor has submitted acceptable evidence of the required insurance coverages.</w:t>
      </w:r>
    </w:p>
    <w:p w14:paraId="3FA74813" w14:textId="14C40402" w:rsidR="007F5906" w:rsidRPr="00155376" w:rsidRDefault="007F5906" w:rsidP="004211DE">
      <w:pPr>
        <w:pStyle w:val="Heading3"/>
      </w:pPr>
      <w:r w:rsidRPr="00155376">
        <w:t>Failure to maintain any required insurance coverage or acceptable alternative method of insurance shall be deemed a breach of contract.</w:t>
      </w:r>
    </w:p>
    <w:p w14:paraId="5B7528B2" w14:textId="77777777" w:rsidR="007F5906" w:rsidRPr="00155376" w:rsidRDefault="007F5906" w:rsidP="007F5906">
      <w:pPr>
        <w:rPr>
          <w:sz w:val="24"/>
          <w:szCs w:val="24"/>
        </w:rPr>
      </w:pPr>
    </w:p>
    <w:p w14:paraId="480C4414" w14:textId="77777777" w:rsidR="00485BEA" w:rsidRPr="00155376" w:rsidRDefault="00485BEA" w:rsidP="00516454">
      <w:pPr>
        <w:pStyle w:val="Heading2"/>
      </w:pPr>
      <w:r w:rsidRPr="00155376">
        <w:t>VENDOR BACKGROUND</w:t>
      </w:r>
    </w:p>
    <w:p w14:paraId="199C8431" w14:textId="77777777" w:rsidR="00485BEA" w:rsidRPr="00155376" w:rsidRDefault="00485BEA" w:rsidP="00485BEA">
      <w:pPr>
        <w:rPr>
          <w:sz w:val="24"/>
          <w:szCs w:val="24"/>
        </w:rPr>
      </w:pPr>
    </w:p>
    <w:p w14:paraId="248805DF" w14:textId="7FC3940A" w:rsidR="00485BEA" w:rsidRPr="00155376" w:rsidRDefault="00485BEA" w:rsidP="004211DE">
      <w:pPr>
        <w:pStyle w:val="Heading3"/>
      </w:pPr>
      <w:r w:rsidRPr="00155376">
        <w:t xml:space="preserve">Company background/history and why vendor is qualified to provide the services described in this </w:t>
      </w:r>
      <w:r w:rsidR="00D12E1A" w:rsidRPr="00155376">
        <w:t>solicitation</w:t>
      </w:r>
      <w:r w:rsidRPr="00155376">
        <w:t>.</w:t>
      </w:r>
    </w:p>
    <w:p w14:paraId="11560D16" w14:textId="48505524" w:rsidR="00485BEA" w:rsidRPr="00155376" w:rsidRDefault="00485BEA" w:rsidP="004211DE">
      <w:pPr>
        <w:pStyle w:val="Heading3"/>
      </w:pPr>
      <w:r w:rsidRPr="00155376">
        <w:t xml:space="preserve">Provide a brief description of the length of time vendor has been providing services described in this </w:t>
      </w:r>
      <w:r w:rsidR="00D12E1A" w:rsidRPr="00155376">
        <w:t>solicitation</w:t>
      </w:r>
      <w:r w:rsidRPr="00155376">
        <w:t xml:space="preserve"> to the public and/or private sector.</w:t>
      </w:r>
    </w:p>
    <w:p w14:paraId="2EDEC878" w14:textId="77777777" w:rsidR="00875B0F" w:rsidRPr="00155376" w:rsidRDefault="00875B0F" w:rsidP="00875B0F">
      <w:pPr>
        <w:rPr>
          <w:sz w:val="24"/>
          <w:szCs w:val="24"/>
        </w:rPr>
      </w:pPr>
    </w:p>
    <w:p w14:paraId="33BD5E6A" w14:textId="77777777" w:rsidR="00875B0F" w:rsidRPr="00155376" w:rsidRDefault="00875B0F" w:rsidP="00516454">
      <w:pPr>
        <w:pStyle w:val="Heading2"/>
      </w:pPr>
      <w:r w:rsidRPr="00155376">
        <w:t>VENDOR STAFF RESUMES</w:t>
      </w:r>
    </w:p>
    <w:p w14:paraId="02DBD28B" w14:textId="77777777" w:rsidR="00875B0F" w:rsidRPr="00155376" w:rsidRDefault="00875B0F" w:rsidP="00875B0F">
      <w:pPr>
        <w:rPr>
          <w:sz w:val="24"/>
          <w:szCs w:val="24"/>
        </w:rPr>
      </w:pPr>
    </w:p>
    <w:p w14:paraId="4628BD4B" w14:textId="22AA7ADA" w:rsidR="00875B0F" w:rsidRPr="00155376" w:rsidRDefault="00875B0F" w:rsidP="004211DE">
      <w:pPr>
        <w:pStyle w:val="Heading3"/>
        <w:rPr>
          <w:iCs/>
        </w:rPr>
      </w:pPr>
      <w:r w:rsidRPr="00155376">
        <w:t xml:space="preserve">A resume shall be </w:t>
      </w:r>
      <w:r w:rsidR="00D0022A" w:rsidRPr="00155376">
        <w:t>included</w:t>
      </w:r>
      <w:r w:rsidRPr="00155376">
        <w:t xml:space="preserve"> for each proposed key personnel, see </w:t>
      </w:r>
      <w:r w:rsidRPr="00155376">
        <w:rPr>
          <w:i/>
        </w:rPr>
        <w:t>Proposed Staff Resume.</w:t>
      </w:r>
    </w:p>
    <w:p w14:paraId="23F2B2D4" w14:textId="4271A27F" w:rsidR="00875B0F" w:rsidRPr="00155376" w:rsidRDefault="00875B0F" w:rsidP="004211DE">
      <w:pPr>
        <w:pStyle w:val="Heading3"/>
      </w:pPr>
      <w:r w:rsidRPr="00155376">
        <w:t xml:space="preserve">A resume shall also be </w:t>
      </w:r>
      <w:r w:rsidR="00D0022A" w:rsidRPr="00155376">
        <w:t>included</w:t>
      </w:r>
      <w:r w:rsidRPr="00155376">
        <w:t xml:space="preserve"> for any proposed key subcontractor personnel.</w:t>
      </w:r>
    </w:p>
    <w:p w14:paraId="7DE10EB4" w14:textId="77777777" w:rsidR="00EC5E9E" w:rsidRPr="00155376" w:rsidRDefault="00EC5E9E" w:rsidP="00EC5E9E">
      <w:pPr>
        <w:rPr>
          <w:sz w:val="24"/>
          <w:szCs w:val="24"/>
        </w:rPr>
      </w:pPr>
    </w:p>
    <w:p w14:paraId="3DFDF944" w14:textId="77777777" w:rsidR="00EC5E9E" w:rsidRPr="00155376" w:rsidRDefault="00EC5E9E" w:rsidP="00516454">
      <w:pPr>
        <w:pStyle w:val="Heading2"/>
      </w:pPr>
      <w:r w:rsidRPr="00155376">
        <w:t>SUBCONTRACTORS</w:t>
      </w:r>
    </w:p>
    <w:p w14:paraId="53507281" w14:textId="77777777" w:rsidR="00EC5E9E" w:rsidRPr="00155376" w:rsidRDefault="00EC5E9E" w:rsidP="00EC5E9E">
      <w:pPr>
        <w:rPr>
          <w:sz w:val="24"/>
          <w:szCs w:val="24"/>
        </w:rPr>
      </w:pPr>
    </w:p>
    <w:p w14:paraId="50459FAC" w14:textId="4FEA9C46" w:rsidR="00EC5E9E" w:rsidRPr="00155376" w:rsidRDefault="00EC5E9E" w:rsidP="004211DE">
      <w:pPr>
        <w:pStyle w:val="Heading3"/>
      </w:pPr>
      <w:r w:rsidRPr="00155376">
        <w:t xml:space="preserve">Subcontractors are defined as a third party, not directly employed by the contractor, who shall provide services identified in this </w:t>
      </w:r>
      <w:r w:rsidR="00D12E1A" w:rsidRPr="00155376">
        <w:t>solicitation</w:t>
      </w:r>
      <w:r w:rsidRPr="00155376">
        <w:t>. This does not include third parties who provide support or incidental services to the contractor.</w:t>
      </w:r>
    </w:p>
    <w:p w14:paraId="1A0B570A" w14:textId="77777777" w:rsidR="00EC5E9E" w:rsidRPr="00155376" w:rsidRDefault="00EC5E9E" w:rsidP="004211DE">
      <w:pPr>
        <w:pStyle w:val="Heading3"/>
      </w:pPr>
      <w:r w:rsidRPr="00155376">
        <w:t xml:space="preserve">Proposal should include a completed </w:t>
      </w:r>
      <w:r w:rsidRPr="00155376">
        <w:rPr>
          <w:i/>
          <w:iCs/>
        </w:rPr>
        <w:t xml:space="preserve">Vendor Information Response </w:t>
      </w:r>
      <w:r w:rsidRPr="00155376">
        <w:t>form for each subcontractor.</w:t>
      </w:r>
    </w:p>
    <w:p w14:paraId="4016CE09" w14:textId="77777777" w:rsidR="00EC5E9E" w:rsidRPr="00155376" w:rsidRDefault="00EC5E9E" w:rsidP="004211DE">
      <w:pPr>
        <w:pStyle w:val="Heading3"/>
      </w:pPr>
      <w:r w:rsidRPr="00155376">
        <w:t>Vendor shall not allow any subcontractor to commence work until all insurance required of the subcontractor is provided to the vendor.</w:t>
      </w:r>
    </w:p>
    <w:p w14:paraId="45EAF9F9" w14:textId="77777777" w:rsidR="00EC5E9E" w:rsidRPr="00155376" w:rsidRDefault="00EC5E9E" w:rsidP="004211DE">
      <w:pPr>
        <w:pStyle w:val="Heading3"/>
      </w:pPr>
      <w:r w:rsidRPr="00155376">
        <w:t>Vendor proposal shall identify specific requirements of the project for which each subcontractor shall perform services.</w:t>
      </w:r>
    </w:p>
    <w:p w14:paraId="6284A2F7" w14:textId="77777777" w:rsidR="00EC5E9E" w:rsidRPr="00155376" w:rsidRDefault="00EC5E9E" w:rsidP="00EC5E9E">
      <w:pPr>
        <w:rPr>
          <w:sz w:val="24"/>
          <w:szCs w:val="24"/>
        </w:rPr>
      </w:pPr>
    </w:p>
    <w:p w14:paraId="156CD1F2" w14:textId="33B91499" w:rsidR="00EC5E9E" w:rsidRPr="00155376" w:rsidRDefault="00EC5E9E" w:rsidP="00EC5E9E">
      <w:pPr>
        <w:pStyle w:val="Heading4"/>
        <w:rPr>
          <w:sz w:val="24"/>
          <w:szCs w:val="32"/>
        </w:rPr>
      </w:pPr>
      <w:r w:rsidRPr="00155376">
        <w:rPr>
          <w:sz w:val="24"/>
          <w:szCs w:val="32"/>
        </w:rPr>
        <w:lastRenderedPageBreak/>
        <w:t>How the work of any subcontractor(s) shall be supervised</w:t>
      </w:r>
    </w:p>
    <w:p w14:paraId="0ABF0031" w14:textId="5E5805E0" w:rsidR="00EC5E9E" w:rsidRPr="00155376" w:rsidRDefault="004154FC" w:rsidP="00EC5E9E">
      <w:pPr>
        <w:pStyle w:val="Heading4"/>
        <w:rPr>
          <w:sz w:val="24"/>
          <w:szCs w:val="32"/>
        </w:rPr>
      </w:pPr>
      <w:r w:rsidRPr="00155376">
        <w:rPr>
          <w:sz w:val="24"/>
          <w:szCs w:val="32"/>
        </w:rPr>
        <w:t>How c</w:t>
      </w:r>
      <w:r w:rsidR="00EC5E9E" w:rsidRPr="00155376">
        <w:rPr>
          <w:sz w:val="24"/>
          <w:szCs w:val="32"/>
        </w:rPr>
        <w:t>hannels of communication shall be maintained</w:t>
      </w:r>
    </w:p>
    <w:p w14:paraId="5C771205" w14:textId="0D60EAF5" w:rsidR="00EC5E9E" w:rsidRPr="00155376" w:rsidRDefault="004154FC" w:rsidP="00EC5E9E">
      <w:pPr>
        <w:pStyle w:val="Heading4"/>
        <w:rPr>
          <w:sz w:val="24"/>
          <w:szCs w:val="32"/>
        </w:rPr>
      </w:pPr>
      <w:r w:rsidRPr="00155376">
        <w:rPr>
          <w:sz w:val="24"/>
          <w:szCs w:val="32"/>
        </w:rPr>
        <w:t>How c</w:t>
      </w:r>
      <w:r w:rsidR="00EC5E9E" w:rsidRPr="00155376">
        <w:rPr>
          <w:sz w:val="24"/>
          <w:szCs w:val="32"/>
        </w:rPr>
        <w:t>ompliance with contracts terms and conditions will be assured</w:t>
      </w:r>
    </w:p>
    <w:p w14:paraId="5EFB28D3" w14:textId="5A226A61" w:rsidR="00EC5E9E" w:rsidRPr="00155376" w:rsidRDefault="00EC5E9E" w:rsidP="00EC5E9E">
      <w:pPr>
        <w:pStyle w:val="Heading4"/>
        <w:rPr>
          <w:sz w:val="24"/>
          <w:szCs w:val="32"/>
        </w:rPr>
      </w:pPr>
      <w:r w:rsidRPr="00155376">
        <w:rPr>
          <w:sz w:val="24"/>
          <w:szCs w:val="32"/>
        </w:rPr>
        <w:t>Previous experience with subcontractor(s)</w:t>
      </w:r>
    </w:p>
    <w:p w14:paraId="7B246D80" w14:textId="77777777" w:rsidR="00485BEA" w:rsidRDefault="00485BEA" w:rsidP="00485BEA">
      <w:pPr>
        <w:rPr>
          <w:sz w:val="24"/>
          <w:szCs w:val="24"/>
        </w:rPr>
      </w:pPr>
    </w:p>
    <w:p w14:paraId="36559D35" w14:textId="26BB5123" w:rsidR="00485BEA" w:rsidRPr="00155376" w:rsidRDefault="00485BEA" w:rsidP="00516454">
      <w:pPr>
        <w:pStyle w:val="Heading2"/>
      </w:pPr>
      <w:r w:rsidRPr="00155376">
        <w:t>VENDOR FINANCIAL INFORMATION</w:t>
      </w:r>
    </w:p>
    <w:p w14:paraId="0D7CDA9D" w14:textId="77777777" w:rsidR="00485BEA" w:rsidRPr="00155376" w:rsidRDefault="00485BEA" w:rsidP="00485BEA">
      <w:pPr>
        <w:rPr>
          <w:sz w:val="24"/>
          <w:szCs w:val="24"/>
        </w:rPr>
      </w:pPr>
    </w:p>
    <w:p w14:paraId="09DB8325" w14:textId="53DAB2C1" w:rsidR="00485BEA" w:rsidRPr="00155376" w:rsidRDefault="00485BEA" w:rsidP="004211DE">
      <w:pPr>
        <w:pStyle w:val="Heading3"/>
      </w:pPr>
      <w:r w:rsidRPr="00155376">
        <w:t>The information requested in this section is designated as confidential business information by the Administrator pursuant to NRS 333.020(5</w:t>
      </w:r>
      <w:r w:rsidR="00E47716" w:rsidRPr="00155376">
        <w:t>)</w:t>
      </w:r>
      <w:r w:rsidRPr="00155376">
        <w:t>(b) and is not public information pursuant to NRS 333.333.</w:t>
      </w:r>
    </w:p>
    <w:p w14:paraId="4542C835" w14:textId="5055594E" w:rsidR="00485BEA" w:rsidRPr="00155376" w:rsidRDefault="00485BEA" w:rsidP="004211DE">
      <w:pPr>
        <w:pStyle w:val="Heading3"/>
      </w:pPr>
      <w:r w:rsidRPr="00155376">
        <w:t xml:space="preserve">This information should be submitted as a separate attachment, flagged as confidential </w:t>
      </w:r>
      <w:r w:rsidR="0079018D">
        <w:t>in the attachment title.</w:t>
      </w:r>
    </w:p>
    <w:p w14:paraId="2E0761B6" w14:textId="77777777" w:rsidR="00485BEA" w:rsidRPr="00155376" w:rsidRDefault="00485BEA" w:rsidP="004211DE">
      <w:pPr>
        <w:pStyle w:val="Heading3"/>
      </w:pPr>
      <w:r w:rsidRPr="00155376">
        <w:t>Proposing vendor shall provide the following financial information and documentation:</w:t>
      </w:r>
    </w:p>
    <w:p w14:paraId="6C3C4F64" w14:textId="77777777" w:rsidR="00485BEA" w:rsidRPr="00155376" w:rsidRDefault="00485BEA" w:rsidP="00485BEA">
      <w:pPr>
        <w:rPr>
          <w:sz w:val="24"/>
          <w:szCs w:val="24"/>
        </w:rPr>
      </w:pPr>
    </w:p>
    <w:p w14:paraId="60BEAC15" w14:textId="77777777" w:rsidR="00485BEA" w:rsidRPr="00155376" w:rsidRDefault="00485BEA" w:rsidP="00485BEA">
      <w:pPr>
        <w:pStyle w:val="Heading4"/>
        <w:rPr>
          <w:sz w:val="24"/>
          <w:szCs w:val="32"/>
        </w:rPr>
      </w:pPr>
      <w:r w:rsidRPr="00155376">
        <w:rPr>
          <w:sz w:val="24"/>
          <w:szCs w:val="32"/>
        </w:rPr>
        <w:t>Dun and Bradstreet Number</w:t>
      </w:r>
    </w:p>
    <w:p w14:paraId="0DDC8C1B" w14:textId="77777777" w:rsidR="00485BEA" w:rsidRPr="00155376" w:rsidRDefault="00485BEA" w:rsidP="00485BEA">
      <w:pPr>
        <w:pStyle w:val="Heading4"/>
        <w:rPr>
          <w:sz w:val="24"/>
          <w:szCs w:val="32"/>
        </w:rPr>
      </w:pPr>
      <w:r w:rsidRPr="00155376">
        <w:rPr>
          <w:sz w:val="24"/>
          <w:szCs w:val="32"/>
        </w:rPr>
        <w:t>Federal Tax Identification Number</w:t>
      </w:r>
    </w:p>
    <w:p w14:paraId="60F79F8E" w14:textId="77777777" w:rsidR="00485BEA" w:rsidRPr="00155376" w:rsidRDefault="00485BEA" w:rsidP="00485BEA">
      <w:pPr>
        <w:pStyle w:val="Heading4"/>
        <w:rPr>
          <w:sz w:val="24"/>
          <w:szCs w:val="32"/>
        </w:rPr>
      </w:pPr>
      <w:r w:rsidRPr="00155376">
        <w:rPr>
          <w:sz w:val="24"/>
          <w:szCs w:val="32"/>
        </w:rPr>
        <w:t>The last two (2) full years and current year interim:</w:t>
      </w:r>
    </w:p>
    <w:p w14:paraId="16B0E9D3" w14:textId="77777777" w:rsidR="00485BEA" w:rsidRPr="00155376" w:rsidRDefault="00485BEA" w:rsidP="00485BEA">
      <w:pPr>
        <w:rPr>
          <w:sz w:val="24"/>
          <w:szCs w:val="24"/>
        </w:rPr>
      </w:pPr>
    </w:p>
    <w:p w14:paraId="1C06F1F6" w14:textId="77777777" w:rsidR="00485BEA" w:rsidRPr="00155376" w:rsidRDefault="00485BEA" w:rsidP="00485BEA">
      <w:pPr>
        <w:pStyle w:val="Heading6"/>
        <w:numPr>
          <w:ilvl w:val="4"/>
          <w:numId w:val="4"/>
        </w:numPr>
        <w:rPr>
          <w:sz w:val="24"/>
          <w:szCs w:val="24"/>
        </w:rPr>
      </w:pPr>
      <w:r w:rsidRPr="00155376">
        <w:rPr>
          <w:sz w:val="24"/>
          <w:szCs w:val="24"/>
        </w:rPr>
        <w:t>Profit and Loss Statements</w:t>
      </w:r>
    </w:p>
    <w:p w14:paraId="517D2795" w14:textId="77777777" w:rsidR="00485BEA" w:rsidRPr="00155376" w:rsidRDefault="00485BEA" w:rsidP="00485BEA">
      <w:pPr>
        <w:pStyle w:val="Heading6"/>
        <w:numPr>
          <w:ilvl w:val="4"/>
          <w:numId w:val="4"/>
        </w:numPr>
        <w:rPr>
          <w:sz w:val="24"/>
          <w:szCs w:val="24"/>
        </w:rPr>
      </w:pPr>
      <w:r w:rsidRPr="00155376">
        <w:rPr>
          <w:sz w:val="24"/>
          <w:szCs w:val="24"/>
        </w:rPr>
        <w:t>Balance Statements</w:t>
      </w:r>
    </w:p>
    <w:p w14:paraId="6AD0F7C6" w14:textId="77777777" w:rsidR="00BE57B8" w:rsidRPr="00155376" w:rsidRDefault="00BE57B8" w:rsidP="00485BEA">
      <w:pPr>
        <w:rPr>
          <w:sz w:val="24"/>
          <w:szCs w:val="24"/>
        </w:rPr>
      </w:pPr>
    </w:p>
    <w:p w14:paraId="1BF88B92" w14:textId="5CFBE2D9" w:rsidR="00B27BFE" w:rsidRDefault="00BE1A21" w:rsidP="00516454">
      <w:pPr>
        <w:pStyle w:val="Heading2"/>
      </w:pPr>
      <w:r w:rsidRPr="00155376">
        <w:t>BUSINESS REFERENCES</w:t>
      </w:r>
    </w:p>
    <w:p w14:paraId="21B70823" w14:textId="77777777" w:rsidR="00A2470A" w:rsidRPr="00A2470A" w:rsidRDefault="00A2470A" w:rsidP="00A2470A"/>
    <w:p w14:paraId="068AF53A" w14:textId="08087DE5" w:rsidR="00B27BFE" w:rsidRPr="00155376" w:rsidRDefault="00B27BFE" w:rsidP="004211DE">
      <w:pPr>
        <w:pStyle w:val="Heading3"/>
      </w:pPr>
      <w:r w:rsidRPr="00155376">
        <w:t>The information requested in this section is designated as confidential business information by the Administrator pursuant to NRS 333.020(5</w:t>
      </w:r>
      <w:r w:rsidR="00E47716" w:rsidRPr="00155376">
        <w:t>)</w:t>
      </w:r>
      <w:r w:rsidRPr="00155376">
        <w:t>(b) and is not public information pursuant to NRS 333.333.</w:t>
      </w:r>
    </w:p>
    <w:p w14:paraId="00671D9E" w14:textId="264B790A" w:rsidR="00BC7EBF" w:rsidRPr="00155376" w:rsidRDefault="00BC7EBF" w:rsidP="004211DE">
      <w:pPr>
        <w:pStyle w:val="Heading3"/>
      </w:pPr>
      <w:r w:rsidRPr="00155376">
        <w:t>Vendors shall provide a minimum of three (3) business references from similar projects performed for private and/or public sector clients within the last five (5) years</w:t>
      </w:r>
      <w:r w:rsidR="006E4643" w:rsidRPr="00155376">
        <w:t xml:space="preserve">, see </w:t>
      </w:r>
      <w:r w:rsidR="006E4643" w:rsidRPr="00155376">
        <w:rPr>
          <w:i/>
          <w:iCs/>
        </w:rPr>
        <w:t>Reference Questionnaire</w:t>
      </w:r>
      <w:r w:rsidRPr="00155376">
        <w:t>.</w:t>
      </w:r>
    </w:p>
    <w:p w14:paraId="1BEE6B65" w14:textId="77777777" w:rsidR="00B27BFE" w:rsidRPr="00155376" w:rsidRDefault="00B27BFE" w:rsidP="004211DE">
      <w:pPr>
        <w:pStyle w:val="Heading3"/>
      </w:pPr>
      <w:r w:rsidRPr="00155376">
        <w:t>The purpose of these references is to document relevant experience and aid in the evaluation process.</w:t>
      </w:r>
    </w:p>
    <w:p w14:paraId="469B65F8" w14:textId="77777777" w:rsidR="00B27BFE" w:rsidRPr="00155376" w:rsidRDefault="00B27BFE" w:rsidP="004211DE">
      <w:pPr>
        <w:pStyle w:val="Heading3"/>
      </w:pPr>
      <w:r w:rsidRPr="00155376">
        <w:t xml:space="preserve">Business references should return </w:t>
      </w:r>
      <w:r w:rsidRPr="00155376">
        <w:rPr>
          <w:i/>
          <w:iCs/>
        </w:rPr>
        <w:t>Reference Questionnaire</w:t>
      </w:r>
      <w:r w:rsidRPr="00155376">
        <w:t xml:space="preserve"> directly to Single Point of Contact via email.</w:t>
      </w:r>
    </w:p>
    <w:p w14:paraId="52A3A592" w14:textId="71C0FE9F" w:rsidR="00B27BFE" w:rsidRPr="00155376" w:rsidRDefault="00B27BFE" w:rsidP="004211DE">
      <w:pPr>
        <w:pStyle w:val="Heading3"/>
      </w:pPr>
      <w:r w:rsidRPr="00155376">
        <w:t xml:space="preserve">Business references will not be accepted </w:t>
      </w:r>
      <w:r w:rsidR="007A7D18" w:rsidRPr="00155376">
        <w:t xml:space="preserve">directly </w:t>
      </w:r>
      <w:r w:rsidRPr="00155376">
        <w:t>from proposing vendor.</w:t>
      </w:r>
    </w:p>
    <w:p w14:paraId="6FE043F0" w14:textId="32C8ED0C" w:rsidR="00B27BFE" w:rsidRPr="00155376" w:rsidRDefault="001760B6" w:rsidP="004211DE">
      <w:pPr>
        <w:pStyle w:val="Heading3"/>
      </w:pPr>
      <w:r>
        <w:t>T</w:t>
      </w:r>
      <w:r w:rsidR="00B27BFE">
        <w:t>he State will not disclose submitted references but will confirm if a reference has been received.</w:t>
      </w:r>
    </w:p>
    <w:p w14:paraId="245AB840" w14:textId="1CEF6E56" w:rsidR="00B27BFE" w:rsidRPr="00155376" w:rsidRDefault="00B27BFE" w:rsidP="004211DE">
      <w:pPr>
        <w:pStyle w:val="Heading3"/>
      </w:pPr>
      <w:r w:rsidRPr="00155376">
        <w:t>The State reserves the right to contact references during evaluation.</w:t>
      </w:r>
    </w:p>
    <w:p w14:paraId="76DC4D8D" w14:textId="7C98043E" w:rsidR="00FB5CB5" w:rsidRPr="00155376" w:rsidRDefault="00FB5CB5" w:rsidP="00FB5CB5">
      <w:pPr>
        <w:rPr>
          <w:sz w:val="24"/>
          <w:szCs w:val="24"/>
        </w:rPr>
      </w:pPr>
    </w:p>
    <w:p w14:paraId="1C631AED" w14:textId="77777777" w:rsidR="004D3B3F" w:rsidRDefault="004D3B3F" w:rsidP="00A33A03">
      <w:pPr>
        <w:pStyle w:val="Heading1"/>
        <w:rPr>
          <w:rFonts w:ascii="Times New Roman" w:hAnsi="Times New Roman"/>
          <w:sz w:val="24"/>
          <w:szCs w:val="24"/>
        </w:rPr>
      </w:pPr>
      <w:bookmarkStart w:id="34" w:name="_Toc65138429"/>
      <w:bookmarkStart w:id="35" w:name="_Toc66176037"/>
      <w:bookmarkStart w:id="36" w:name="_Toc70363820"/>
      <w:bookmarkStart w:id="37" w:name="_Toc70367355"/>
      <w:bookmarkStart w:id="38" w:name="_Toc160719745"/>
      <w:r w:rsidRPr="00155376">
        <w:rPr>
          <w:rFonts w:ascii="Times New Roman" w:hAnsi="Times New Roman"/>
          <w:sz w:val="24"/>
          <w:szCs w:val="24"/>
        </w:rPr>
        <w:t>SUBMISSION CHECKLIST</w:t>
      </w:r>
      <w:bookmarkEnd w:id="34"/>
      <w:bookmarkEnd w:id="35"/>
      <w:bookmarkEnd w:id="36"/>
      <w:bookmarkEnd w:id="37"/>
      <w:bookmarkEnd w:id="38"/>
    </w:p>
    <w:p w14:paraId="2F781510" w14:textId="77777777" w:rsidR="00A2470A" w:rsidRPr="00A2470A" w:rsidRDefault="00A2470A" w:rsidP="00A2470A"/>
    <w:p w14:paraId="7D1A4659" w14:textId="767A0A3C" w:rsidR="004D3B3F" w:rsidRPr="00155376" w:rsidRDefault="008122E9" w:rsidP="00516454">
      <w:pPr>
        <w:pStyle w:val="Heading2"/>
      </w:pPr>
      <w:r w:rsidRPr="00155376">
        <w:t xml:space="preserve">This section </w:t>
      </w:r>
      <w:r w:rsidR="004D3B3F" w:rsidRPr="00155376">
        <w:t xml:space="preserve">identifies documents that shall be submitted to be considered responsive. Vendors are encouraged to review all requirements to ensure all requested </w:t>
      </w:r>
      <w:r w:rsidR="000F013F" w:rsidRPr="00155376">
        <w:t>information</w:t>
      </w:r>
      <w:r w:rsidR="004D3B3F" w:rsidRPr="00155376">
        <w:t xml:space="preserve"> is included in their response.</w:t>
      </w:r>
    </w:p>
    <w:p w14:paraId="4E750A51" w14:textId="35FCB0DF" w:rsidR="0059464C" w:rsidRPr="00155376" w:rsidRDefault="0059464C" w:rsidP="004211DE">
      <w:pPr>
        <w:pStyle w:val="Heading3"/>
      </w:pPr>
      <w:r w:rsidRPr="00155376">
        <w:t>Proposals must be submitted</w:t>
      </w:r>
      <w:r w:rsidR="007C531F" w:rsidRPr="00155376">
        <w:t xml:space="preserve"> </w:t>
      </w:r>
      <w:r w:rsidR="00AE737C">
        <w:t>via email to jeoliver@nevadatreasurer.gov</w:t>
      </w:r>
    </w:p>
    <w:p w14:paraId="34FC5692" w14:textId="5DD6FFB4" w:rsidR="004D3B3F" w:rsidRPr="00155376" w:rsidRDefault="004D3B3F" w:rsidP="004211DE">
      <w:pPr>
        <w:pStyle w:val="Heading3"/>
      </w:pPr>
      <w:r w:rsidRPr="00155376">
        <w:t>Vendors are encouraged to submit a single file</w:t>
      </w:r>
      <w:r w:rsidR="007C531F" w:rsidRPr="00155376">
        <w:t xml:space="preserve"> attachment</w:t>
      </w:r>
      <w:r w:rsidRPr="00155376">
        <w:t xml:space="preserve"> per proposal section if possible.</w:t>
      </w:r>
    </w:p>
    <w:p w14:paraId="45E3A22D" w14:textId="61DBCD17" w:rsidR="00BF3CF7" w:rsidRPr="00155376" w:rsidRDefault="004D3B3F" w:rsidP="004211DE">
      <w:pPr>
        <w:pStyle w:val="Heading3"/>
      </w:pPr>
      <w:r w:rsidRPr="00155376">
        <w:t>Technical proposal information and Cost proposal information shall not be included in the same attachment.</w:t>
      </w:r>
    </w:p>
    <w:p w14:paraId="2C3F75D8" w14:textId="2D29D845" w:rsidR="004D3B3F" w:rsidRPr="00155376" w:rsidRDefault="004D3B3F" w:rsidP="004211DE">
      <w:pPr>
        <w:pStyle w:val="Heading3"/>
      </w:pPr>
      <w:r>
        <w:t xml:space="preserve">Additional attachments may be </w:t>
      </w:r>
      <w:r w:rsidR="009E1A18">
        <w:t>included</w:t>
      </w:r>
      <w:r>
        <w:t xml:space="preserve"> but </w:t>
      </w:r>
      <w:r w:rsidR="007326E5">
        <w:t xml:space="preserve">are </w:t>
      </w:r>
      <w:r w:rsidR="006D4E02">
        <w:t xml:space="preserve">discouraged and </w:t>
      </w:r>
      <w:r>
        <w:t>should be kept to a minimum.</w:t>
      </w:r>
    </w:p>
    <w:p w14:paraId="12D05FF6" w14:textId="77777777" w:rsidR="004D3B3F" w:rsidRDefault="004D3B3F" w:rsidP="004D3B3F">
      <w:pPr>
        <w:rPr>
          <w:sz w:val="24"/>
          <w:szCs w:val="24"/>
        </w:rPr>
      </w:pPr>
    </w:p>
    <w:p w14:paraId="4B4ED2C7" w14:textId="77777777" w:rsidR="00A2470A" w:rsidRDefault="00A2470A" w:rsidP="004D3B3F">
      <w:pPr>
        <w:rPr>
          <w:sz w:val="24"/>
          <w:szCs w:val="24"/>
        </w:rPr>
      </w:pPr>
    </w:p>
    <w:p w14:paraId="51268F95" w14:textId="77777777" w:rsidR="00A2470A" w:rsidRDefault="00A2470A" w:rsidP="004D3B3F">
      <w:pPr>
        <w:rPr>
          <w:sz w:val="24"/>
          <w:szCs w:val="24"/>
        </w:rPr>
      </w:pPr>
    </w:p>
    <w:p w14:paraId="0DB1D097" w14:textId="77777777" w:rsidR="00A2470A" w:rsidRDefault="00A2470A" w:rsidP="004D3B3F">
      <w:pPr>
        <w:rPr>
          <w:sz w:val="24"/>
          <w:szCs w:val="24"/>
        </w:rPr>
      </w:pPr>
    </w:p>
    <w:p w14:paraId="6E342FCC" w14:textId="77777777" w:rsidR="00A2470A" w:rsidRDefault="00A2470A" w:rsidP="004D3B3F">
      <w:pPr>
        <w:rPr>
          <w:sz w:val="24"/>
          <w:szCs w:val="24"/>
        </w:rPr>
      </w:pPr>
    </w:p>
    <w:p w14:paraId="0CE6669C" w14:textId="77777777" w:rsidR="00A2470A" w:rsidRDefault="00A2470A" w:rsidP="004D3B3F">
      <w:pPr>
        <w:rPr>
          <w:sz w:val="24"/>
          <w:szCs w:val="24"/>
        </w:rPr>
      </w:pPr>
    </w:p>
    <w:p w14:paraId="5EFE1916" w14:textId="36D74804" w:rsidR="004D3B3F" w:rsidRPr="00155376" w:rsidRDefault="006700EC" w:rsidP="00516454">
      <w:pPr>
        <w:pStyle w:val="Heading2"/>
      </w:pPr>
      <w:r w:rsidRPr="00155376">
        <w:lastRenderedPageBreak/>
        <w:t>TECHNICAL PROPOSAL</w:t>
      </w:r>
    </w:p>
    <w:p w14:paraId="2D618DD1" w14:textId="77777777" w:rsidR="004D3B3F" w:rsidRPr="00155376" w:rsidRDefault="004D3B3F" w:rsidP="002458DB">
      <w:pPr>
        <w:pStyle w:val="Heading4"/>
        <w:rPr>
          <w:sz w:val="24"/>
          <w:szCs w:val="32"/>
        </w:rPr>
      </w:pPr>
      <w:r w:rsidRPr="00155376">
        <w:rPr>
          <w:sz w:val="24"/>
          <w:szCs w:val="32"/>
        </w:rPr>
        <w:t>Title Page</w:t>
      </w:r>
    </w:p>
    <w:p w14:paraId="128A4D04" w14:textId="77777777" w:rsidR="004D3B3F" w:rsidRDefault="004D3B3F" w:rsidP="002458DB">
      <w:pPr>
        <w:pStyle w:val="Heading4"/>
        <w:rPr>
          <w:sz w:val="24"/>
          <w:szCs w:val="32"/>
        </w:rPr>
      </w:pPr>
      <w:r w:rsidRPr="00155376">
        <w:rPr>
          <w:sz w:val="24"/>
          <w:szCs w:val="32"/>
        </w:rPr>
        <w:t>Table of Contents</w:t>
      </w:r>
    </w:p>
    <w:p w14:paraId="0F24075D" w14:textId="7AC1DC18" w:rsidR="00301A33" w:rsidRPr="00301A33" w:rsidRDefault="00301A33" w:rsidP="00301A33">
      <w:pPr>
        <w:pStyle w:val="Heading4"/>
        <w:rPr>
          <w:sz w:val="24"/>
          <w:szCs w:val="32"/>
        </w:rPr>
      </w:pPr>
      <w:r w:rsidRPr="00155376">
        <w:rPr>
          <w:sz w:val="24"/>
          <w:szCs w:val="32"/>
        </w:rPr>
        <w:t>Response to Scope of Work</w:t>
      </w:r>
      <w:r>
        <w:rPr>
          <w:sz w:val="24"/>
          <w:szCs w:val="32"/>
        </w:rPr>
        <w:t>; Qualifying Criteria; Certifications</w:t>
      </w:r>
    </w:p>
    <w:p w14:paraId="5EB94DDF" w14:textId="26D988D0" w:rsidR="004D3B3F" w:rsidRPr="00155376" w:rsidRDefault="002F7107" w:rsidP="002458DB">
      <w:pPr>
        <w:pStyle w:val="Heading4"/>
        <w:rPr>
          <w:sz w:val="24"/>
          <w:szCs w:val="32"/>
        </w:rPr>
      </w:pPr>
      <w:r w:rsidRPr="00155376">
        <w:rPr>
          <w:sz w:val="24"/>
          <w:szCs w:val="32"/>
        </w:rPr>
        <w:t xml:space="preserve">Response to </w:t>
      </w:r>
      <w:r w:rsidR="004D3B3F" w:rsidRPr="00155376">
        <w:rPr>
          <w:sz w:val="24"/>
          <w:szCs w:val="32"/>
        </w:rPr>
        <w:t>Mandatory Minimum Requirements</w:t>
      </w:r>
    </w:p>
    <w:p w14:paraId="05ED3F6E" w14:textId="5AF4E097" w:rsidR="004D3B3F" w:rsidRPr="00155376" w:rsidRDefault="002F7107" w:rsidP="002458DB">
      <w:pPr>
        <w:pStyle w:val="Heading4"/>
        <w:rPr>
          <w:sz w:val="24"/>
          <w:szCs w:val="32"/>
        </w:rPr>
      </w:pPr>
      <w:r w:rsidRPr="00155376">
        <w:rPr>
          <w:sz w:val="24"/>
          <w:szCs w:val="32"/>
        </w:rPr>
        <w:t xml:space="preserve">Response to </w:t>
      </w:r>
      <w:r w:rsidR="004D3B3F" w:rsidRPr="00155376">
        <w:rPr>
          <w:sz w:val="24"/>
          <w:szCs w:val="32"/>
        </w:rPr>
        <w:t>Critical Items</w:t>
      </w:r>
    </w:p>
    <w:p w14:paraId="414D63F1" w14:textId="77777777" w:rsidR="00785D00" w:rsidRPr="00155376" w:rsidRDefault="00785D00" w:rsidP="002458DB">
      <w:pPr>
        <w:pStyle w:val="Heading4"/>
        <w:rPr>
          <w:sz w:val="24"/>
          <w:szCs w:val="32"/>
        </w:rPr>
      </w:pPr>
      <w:r w:rsidRPr="00155376">
        <w:rPr>
          <w:sz w:val="24"/>
          <w:szCs w:val="32"/>
        </w:rPr>
        <w:t>Proposed Staff Resumes</w:t>
      </w:r>
    </w:p>
    <w:p w14:paraId="4BA3FA2B" w14:textId="77777777" w:rsidR="004D3B3F" w:rsidRPr="00155376" w:rsidRDefault="004D3B3F" w:rsidP="002458DB">
      <w:pPr>
        <w:pStyle w:val="Heading4"/>
        <w:rPr>
          <w:sz w:val="24"/>
          <w:szCs w:val="32"/>
        </w:rPr>
      </w:pPr>
      <w:r w:rsidRPr="00155376">
        <w:rPr>
          <w:sz w:val="24"/>
          <w:szCs w:val="32"/>
        </w:rPr>
        <w:t>Other Informational Material</w:t>
      </w:r>
    </w:p>
    <w:p w14:paraId="6CC11E48" w14:textId="77777777" w:rsidR="004D3B3F" w:rsidRPr="00155376" w:rsidRDefault="004D3B3F" w:rsidP="004D3B3F">
      <w:pPr>
        <w:rPr>
          <w:sz w:val="24"/>
          <w:szCs w:val="24"/>
        </w:rPr>
      </w:pPr>
    </w:p>
    <w:p w14:paraId="47B3A81E" w14:textId="6D9A8E3F" w:rsidR="004D3B3F" w:rsidRPr="00155376" w:rsidRDefault="006700EC" w:rsidP="00516454">
      <w:pPr>
        <w:pStyle w:val="Heading2"/>
      </w:pPr>
      <w:r w:rsidRPr="00155376">
        <w:t>PROPRIETARY INFORMATION. I</w:t>
      </w:r>
      <w:r w:rsidR="004D3B3F" w:rsidRPr="00155376">
        <w:t xml:space="preserve">f </w:t>
      </w:r>
      <w:r w:rsidR="007270C7" w:rsidRPr="00155376">
        <w:t>necessary</w:t>
      </w:r>
      <w:r w:rsidRPr="00155376">
        <w:t>.</w:t>
      </w:r>
      <w:r w:rsidR="004D3B3F" w:rsidRPr="00155376">
        <w:t xml:space="preserve"> </w:t>
      </w:r>
      <w:r w:rsidRPr="00155376">
        <w:t>A</w:t>
      </w:r>
      <w:r w:rsidR="004D3B3F" w:rsidRPr="00155376">
        <w:t xml:space="preserve">ttachment </w:t>
      </w:r>
      <w:r w:rsidR="00580F97" w:rsidRPr="00155376">
        <w:t>should</w:t>
      </w:r>
      <w:r w:rsidR="004D3B3F" w:rsidRPr="00155376">
        <w:t xml:space="preserve"> be flagged confidential </w:t>
      </w:r>
      <w:r w:rsidR="00D80211">
        <w:t>in the document title.</w:t>
      </w:r>
    </w:p>
    <w:p w14:paraId="49835101" w14:textId="77777777" w:rsidR="004D3B3F" w:rsidRPr="00155376" w:rsidRDefault="004D3B3F" w:rsidP="002458DB">
      <w:pPr>
        <w:pStyle w:val="Heading4"/>
        <w:rPr>
          <w:sz w:val="24"/>
          <w:szCs w:val="32"/>
        </w:rPr>
      </w:pPr>
      <w:r w:rsidRPr="00155376">
        <w:rPr>
          <w:sz w:val="24"/>
          <w:szCs w:val="32"/>
        </w:rPr>
        <w:t>Title Page</w:t>
      </w:r>
    </w:p>
    <w:p w14:paraId="4DC780FC" w14:textId="77777777" w:rsidR="004D3B3F" w:rsidRPr="00155376" w:rsidRDefault="004D3B3F" w:rsidP="002458DB">
      <w:pPr>
        <w:pStyle w:val="Heading4"/>
        <w:rPr>
          <w:sz w:val="24"/>
          <w:szCs w:val="32"/>
        </w:rPr>
      </w:pPr>
      <w:r w:rsidRPr="00155376">
        <w:rPr>
          <w:sz w:val="24"/>
          <w:szCs w:val="32"/>
        </w:rPr>
        <w:t>Table of Contents</w:t>
      </w:r>
    </w:p>
    <w:p w14:paraId="79AC136B" w14:textId="77777777" w:rsidR="004D3B3F" w:rsidRPr="00155376" w:rsidRDefault="004D3B3F" w:rsidP="002458DB">
      <w:pPr>
        <w:pStyle w:val="Heading4"/>
        <w:rPr>
          <w:sz w:val="24"/>
          <w:szCs w:val="32"/>
        </w:rPr>
      </w:pPr>
      <w:r w:rsidRPr="00155376">
        <w:rPr>
          <w:sz w:val="24"/>
          <w:szCs w:val="32"/>
        </w:rPr>
        <w:t xml:space="preserve">Trade Secret information, cross referenced to the technical </w:t>
      </w:r>
      <w:proofErr w:type="gramStart"/>
      <w:r w:rsidRPr="00155376">
        <w:rPr>
          <w:sz w:val="24"/>
          <w:szCs w:val="32"/>
        </w:rPr>
        <w:t>proposal</w:t>
      </w:r>
      <w:proofErr w:type="gramEnd"/>
    </w:p>
    <w:p w14:paraId="5971E1D6" w14:textId="77777777" w:rsidR="004D3B3F" w:rsidRPr="00155376" w:rsidRDefault="004D3B3F" w:rsidP="004D3B3F">
      <w:pPr>
        <w:rPr>
          <w:sz w:val="24"/>
          <w:szCs w:val="24"/>
        </w:rPr>
      </w:pPr>
    </w:p>
    <w:p w14:paraId="00F1B33A" w14:textId="56A6BD1E" w:rsidR="004D3B3F" w:rsidRPr="00155376" w:rsidRDefault="006700EC" w:rsidP="00516454">
      <w:pPr>
        <w:pStyle w:val="Heading2"/>
      </w:pPr>
      <w:r w:rsidRPr="00155376">
        <w:t>COST PROPOSAL</w:t>
      </w:r>
    </w:p>
    <w:p w14:paraId="2BEA9F73" w14:textId="77777777" w:rsidR="006700EC" w:rsidRPr="00155376" w:rsidRDefault="006700EC" w:rsidP="006700EC">
      <w:pPr>
        <w:rPr>
          <w:sz w:val="24"/>
          <w:szCs w:val="24"/>
        </w:rPr>
      </w:pPr>
    </w:p>
    <w:p w14:paraId="1428FD23" w14:textId="58B8A665" w:rsidR="000E1B09" w:rsidRPr="00155376" w:rsidRDefault="006700EC" w:rsidP="00516454">
      <w:pPr>
        <w:pStyle w:val="Heading2"/>
      </w:pPr>
      <w:r w:rsidRPr="00155376">
        <w:t>SIGNED ATTACHMENTS</w:t>
      </w:r>
    </w:p>
    <w:p w14:paraId="0DE5FD21" w14:textId="77777777" w:rsidR="00FF462A" w:rsidRPr="00155376" w:rsidRDefault="00FF462A" w:rsidP="00FF462A">
      <w:pPr>
        <w:rPr>
          <w:sz w:val="24"/>
          <w:szCs w:val="24"/>
        </w:rPr>
      </w:pPr>
    </w:p>
    <w:p w14:paraId="031051B3" w14:textId="77777777" w:rsidR="009F518D" w:rsidRPr="00155376" w:rsidRDefault="009F518D" w:rsidP="009F518D">
      <w:pPr>
        <w:pStyle w:val="Heading4"/>
        <w:rPr>
          <w:sz w:val="24"/>
          <w:szCs w:val="32"/>
        </w:rPr>
      </w:pPr>
      <w:r w:rsidRPr="00155376">
        <w:rPr>
          <w:sz w:val="24"/>
          <w:szCs w:val="32"/>
        </w:rPr>
        <w:t>Vendor Information Response</w:t>
      </w:r>
    </w:p>
    <w:p w14:paraId="0383E576" w14:textId="61FA61C2" w:rsidR="000E1B09" w:rsidRPr="00155376" w:rsidRDefault="000E1B09" w:rsidP="002458DB">
      <w:pPr>
        <w:pStyle w:val="Heading4"/>
        <w:rPr>
          <w:sz w:val="24"/>
          <w:szCs w:val="32"/>
        </w:rPr>
      </w:pPr>
      <w:r w:rsidRPr="00155376">
        <w:rPr>
          <w:sz w:val="24"/>
          <w:szCs w:val="32"/>
        </w:rPr>
        <w:t xml:space="preserve">Vendor </w:t>
      </w:r>
      <w:r w:rsidR="00607BBA" w:rsidRPr="00155376">
        <w:rPr>
          <w:sz w:val="24"/>
          <w:szCs w:val="32"/>
        </w:rPr>
        <w:t>Certifications</w:t>
      </w:r>
    </w:p>
    <w:p w14:paraId="760686C1" w14:textId="77777777" w:rsidR="000E1B09" w:rsidRPr="00155376" w:rsidRDefault="000E1B09" w:rsidP="002458DB">
      <w:pPr>
        <w:pStyle w:val="Heading4"/>
        <w:rPr>
          <w:sz w:val="24"/>
          <w:szCs w:val="32"/>
        </w:rPr>
      </w:pPr>
      <w:r w:rsidRPr="00155376">
        <w:rPr>
          <w:sz w:val="24"/>
          <w:szCs w:val="32"/>
        </w:rPr>
        <w:t>Confidentiality and Certification of Indemnification</w:t>
      </w:r>
    </w:p>
    <w:p w14:paraId="2438B77D" w14:textId="50FEE61C" w:rsidR="000E1B09" w:rsidRDefault="000E1B09" w:rsidP="002458DB">
      <w:pPr>
        <w:pStyle w:val="Heading4"/>
        <w:rPr>
          <w:sz w:val="24"/>
          <w:szCs w:val="32"/>
        </w:rPr>
      </w:pPr>
      <w:r w:rsidRPr="00155376">
        <w:rPr>
          <w:sz w:val="24"/>
          <w:szCs w:val="32"/>
        </w:rPr>
        <w:t>Certification Regarding Lobbying</w:t>
      </w:r>
    </w:p>
    <w:p w14:paraId="6123F4E7" w14:textId="77777777" w:rsidR="00A0524E" w:rsidRPr="00155376" w:rsidRDefault="00A0524E" w:rsidP="00A0524E">
      <w:pPr>
        <w:pStyle w:val="Heading4"/>
        <w:numPr>
          <w:ilvl w:val="0"/>
          <w:numId w:val="0"/>
        </w:numPr>
        <w:ind w:left="1080"/>
        <w:rPr>
          <w:sz w:val="24"/>
          <w:szCs w:val="32"/>
        </w:rPr>
      </w:pPr>
    </w:p>
    <w:p w14:paraId="5841A756" w14:textId="296BA4D1" w:rsidR="004D3B3F" w:rsidRPr="00155376" w:rsidRDefault="006700EC" w:rsidP="00516454">
      <w:pPr>
        <w:pStyle w:val="Heading2"/>
      </w:pPr>
      <w:r w:rsidRPr="00155376">
        <w:t>OTHER ATTACHMENTS. I</w:t>
      </w:r>
      <w:r w:rsidR="004D3B3F" w:rsidRPr="00155376">
        <w:t>f necessary</w:t>
      </w:r>
      <w:r w:rsidR="00840A72" w:rsidRPr="00155376">
        <w:t>, not recommended</w:t>
      </w:r>
      <w:r w:rsidRPr="00155376">
        <w:t>.</w:t>
      </w:r>
    </w:p>
    <w:p w14:paraId="219EB833" w14:textId="77777777" w:rsidR="006700EC" w:rsidRPr="00155376" w:rsidRDefault="006700EC" w:rsidP="006700EC">
      <w:pPr>
        <w:rPr>
          <w:sz w:val="24"/>
          <w:szCs w:val="24"/>
        </w:rPr>
      </w:pPr>
    </w:p>
    <w:p w14:paraId="248225F4" w14:textId="55DE85F8" w:rsidR="004D3B3F" w:rsidRPr="00A0524E" w:rsidRDefault="006700EC" w:rsidP="004D3B3F">
      <w:pPr>
        <w:pStyle w:val="Heading2"/>
      </w:pPr>
      <w:r w:rsidRPr="00155376">
        <w:t>REFERENCE QUESTIONNAIRES. N</w:t>
      </w:r>
      <w:r w:rsidR="004D3B3F" w:rsidRPr="00155376">
        <w:t>ot submitted directly by vendor</w:t>
      </w:r>
      <w:r w:rsidRPr="00155376">
        <w:t>.</w:t>
      </w:r>
    </w:p>
    <w:sectPr w:rsidR="004D3B3F" w:rsidRPr="00A0524E" w:rsidSect="009575E1">
      <w:footerReference w:type="default" r:id="rId29"/>
      <w:pgSz w:w="12240" w:h="15840" w:code="1"/>
      <w:pgMar w:top="1008" w:right="1008" w:bottom="720"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FBA2" w14:textId="77777777" w:rsidR="009575E1" w:rsidRDefault="009575E1" w:rsidP="00C371BD">
      <w:r>
        <w:separator/>
      </w:r>
    </w:p>
    <w:p w14:paraId="674F420D" w14:textId="77777777" w:rsidR="009575E1" w:rsidRDefault="009575E1" w:rsidP="00C371BD"/>
    <w:p w14:paraId="66A5E282" w14:textId="77777777" w:rsidR="009575E1" w:rsidRDefault="009575E1"/>
  </w:endnote>
  <w:endnote w:type="continuationSeparator" w:id="0">
    <w:p w14:paraId="739E0D27" w14:textId="77777777" w:rsidR="009575E1" w:rsidRDefault="009575E1" w:rsidP="00C371BD">
      <w:r>
        <w:continuationSeparator/>
      </w:r>
    </w:p>
    <w:p w14:paraId="116B780C" w14:textId="77777777" w:rsidR="009575E1" w:rsidRDefault="009575E1" w:rsidP="00C371BD"/>
    <w:p w14:paraId="62E926F8" w14:textId="77777777" w:rsidR="009575E1" w:rsidRDefault="009575E1"/>
  </w:endnote>
  <w:endnote w:type="continuationNotice" w:id="1">
    <w:p w14:paraId="0FAACFD1" w14:textId="77777777" w:rsidR="009575E1" w:rsidRDefault="00957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9840" w14:textId="351ED872" w:rsidR="001D7FFA" w:rsidRPr="001324B9" w:rsidRDefault="00C83B30">
    <w:pPr>
      <w:rPr>
        <w:i/>
        <w:iCs/>
      </w:rPr>
    </w:pPr>
    <w:r>
      <w:rPr>
        <w:i/>
        <w:iCs/>
      </w:rPr>
      <w:t xml:space="preserve">March 2024 </w:t>
    </w:r>
    <w:r w:rsidR="009F1D10">
      <w:rPr>
        <w:i/>
        <w:iCs/>
      </w:rPr>
      <w:t>Bond and Disclosure</w:t>
    </w:r>
    <w:r>
      <w:rPr>
        <w:i/>
        <w:iCs/>
      </w:rPr>
      <w:t xml:space="preserve"> Solicitation</w:t>
    </w:r>
    <w:r w:rsidR="008F2098" w:rsidRPr="00AE01EE">
      <w:rPr>
        <w:i/>
        <w:iCs/>
      </w:rPr>
      <w:ptab w:relativeTo="margin" w:alignment="center" w:leader="none"/>
    </w:r>
    <w:r>
      <w:rPr>
        <w:i/>
        <w:iCs/>
      </w:rPr>
      <w:tab/>
    </w:r>
    <w:r>
      <w:rPr>
        <w:i/>
        <w:iCs/>
      </w:rPr>
      <w:tab/>
    </w:r>
    <w:r>
      <w:rPr>
        <w:i/>
        <w:iCs/>
      </w:rPr>
      <w:tab/>
    </w:r>
    <w:r>
      <w:rPr>
        <w:i/>
        <w:iCs/>
      </w:rPr>
      <w:tab/>
    </w:r>
    <w:r>
      <w:rPr>
        <w:i/>
        <w:iCs/>
      </w:rPr>
      <w:tab/>
    </w:r>
    <w:r w:rsidR="00AE01EE" w:rsidRPr="00AE01EE">
      <w:rPr>
        <w:i/>
        <w:iCs/>
      </w:rPr>
      <w:t xml:space="preserve">Page </w:t>
    </w:r>
    <w:r w:rsidR="008F2098" w:rsidRPr="00AE01EE">
      <w:rPr>
        <w:i/>
        <w:iCs/>
      </w:rPr>
      <w:fldChar w:fldCharType="begin"/>
    </w:r>
    <w:r w:rsidR="008F2098" w:rsidRPr="00AE01EE">
      <w:rPr>
        <w:i/>
        <w:iCs/>
      </w:rPr>
      <w:instrText xml:space="preserve"> PAGE   \* MERGEFORMAT </w:instrText>
    </w:r>
    <w:r w:rsidR="008F2098" w:rsidRPr="00AE01EE">
      <w:rPr>
        <w:i/>
        <w:iCs/>
      </w:rPr>
      <w:fldChar w:fldCharType="separate"/>
    </w:r>
    <w:r w:rsidR="008F2098" w:rsidRPr="00AE01EE">
      <w:rPr>
        <w:i/>
        <w:iCs/>
        <w:noProof/>
      </w:rPr>
      <w:t>1</w:t>
    </w:r>
    <w:r w:rsidR="008F2098" w:rsidRPr="00AE01EE">
      <w:rPr>
        <w:i/>
        <w:iCs/>
        <w:noProof/>
      </w:rPr>
      <w:fldChar w:fldCharType="end"/>
    </w:r>
    <w:r w:rsidR="008F2098" w:rsidRPr="00AE01EE">
      <w:rPr>
        <w:i/>
        <w:iCs/>
        <w:noProof/>
      </w:rPr>
      <w:t xml:space="preserve"> of </w:t>
    </w:r>
    <w:r w:rsidR="00AE01EE" w:rsidRPr="00AE01EE">
      <w:rPr>
        <w:i/>
        <w:iCs/>
        <w:noProof/>
      </w:rPr>
      <w:fldChar w:fldCharType="begin"/>
    </w:r>
    <w:r w:rsidR="00AE01EE" w:rsidRPr="00AE01EE">
      <w:rPr>
        <w:i/>
        <w:iCs/>
        <w:noProof/>
      </w:rPr>
      <w:instrText xml:space="preserve"> NUMPAGES   \* MERGEFORMAT </w:instrText>
    </w:r>
    <w:r w:rsidR="00AE01EE" w:rsidRPr="00AE01EE">
      <w:rPr>
        <w:i/>
        <w:iCs/>
        <w:noProof/>
      </w:rPr>
      <w:fldChar w:fldCharType="separate"/>
    </w:r>
    <w:r w:rsidR="00AE01EE" w:rsidRPr="00AE01EE">
      <w:rPr>
        <w:i/>
        <w:iCs/>
        <w:noProof/>
      </w:rPr>
      <w:t>6</w:t>
    </w:r>
    <w:r w:rsidR="00AE01EE" w:rsidRPr="00AE01EE">
      <w:rPr>
        <w:i/>
        <w:iCs/>
        <w:noProof/>
      </w:rPr>
      <w:fldChar w:fldCharType="end"/>
    </w:r>
    <w:r w:rsidR="008F2098" w:rsidRPr="00AE01EE">
      <w:rPr>
        <w:i/>
        <w:iC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68A3" w14:textId="77777777" w:rsidR="009575E1" w:rsidRDefault="009575E1" w:rsidP="00C371BD">
      <w:r>
        <w:separator/>
      </w:r>
    </w:p>
    <w:p w14:paraId="5C3F1F29" w14:textId="77777777" w:rsidR="009575E1" w:rsidRDefault="009575E1" w:rsidP="00C371BD"/>
    <w:p w14:paraId="7C9B61F3" w14:textId="77777777" w:rsidR="009575E1" w:rsidRDefault="009575E1"/>
  </w:footnote>
  <w:footnote w:type="continuationSeparator" w:id="0">
    <w:p w14:paraId="3CCCD278" w14:textId="77777777" w:rsidR="009575E1" w:rsidRDefault="009575E1" w:rsidP="00C371BD">
      <w:r>
        <w:continuationSeparator/>
      </w:r>
    </w:p>
    <w:p w14:paraId="18B31B8A" w14:textId="77777777" w:rsidR="009575E1" w:rsidRDefault="009575E1" w:rsidP="00C371BD"/>
    <w:p w14:paraId="2A343DB9" w14:textId="77777777" w:rsidR="009575E1" w:rsidRDefault="009575E1"/>
  </w:footnote>
  <w:footnote w:type="continuationNotice" w:id="1">
    <w:p w14:paraId="3338463A" w14:textId="77777777" w:rsidR="009575E1" w:rsidRDefault="009575E1"/>
  </w:footnote>
</w:footnotes>
</file>

<file path=word/intelligence2.xml><?xml version="1.0" encoding="utf-8"?>
<int2:intelligence xmlns:int2="http://schemas.microsoft.com/office/intelligence/2020/intelligence" xmlns:oel="http://schemas.microsoft.com/office/2019/extlst">
  <int2:observations>
    <int2:textHash int2:hashCode="yePoDBEVv8U1Qj" int2:id="EwKPLVWd">
      <int2:state int2:value="Rejected" int2:type="AugLoop_Text_Critique"/>
    </int2:textHash>
    <int2:textHash int2:hashCode="wh4pRfOrzlbB6n" int2:id="OnX1020J">
      <int2:state int2:value="Rejected" int2:type="AugLoop_Text_Critique"/>
    </int2:textHash>
    <int2:textHash int2:hashCode="KdDrQxEuPsspDL" int2:id="iigtBNfu">
      <int2:state int2:value="Rejected" int2:type="AugLoop_Text_Critique"/>
    </int2:textHash>
    <int2:textHash int2:hashCode="2q2IrDAO07/rvQ" int2:id="pppSaH0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0A"/>
    <w:multiLevelType w:val="multilevel"/>
    <w:tmpl w:val="1FDA3D52"/>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340506D"/>
    <w:multiLevelType w:val="hybridMultilevel"/>
    <w:tmpl w:val="5E7AF510"/>
    <w:lvl w:ilvl="0" w:tplc="B3AA221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643454"/>
    <w:multiLevelType w:val="hybridMultilevel"/>
    <w:tmpl w:val="F6E0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5031"/>
    <w:multiLevelType w:val="multilevel"/>
    <w:tmpl w:val="4666415E"/>
    <w:lvl w:ilvl="0">
      <w:start w:val="20"/>
      <w:numFmt w:val="decimal"/>
      <w:lvlText w:val="%1"/>
      <w:lvlJc w:val="left"/>
      <w:pPr>
        <w:ind w:left="660" w:hanging="660"/>
      </w:pPr>
      <w:rPr>
        <w:rFonts w:hint="default"/>
      </w:rPr>
    </w:lvl>
    <w:lvl w:ilvl="1">
      <w:start w:val="7"/>
      <w:numFmt w:val="decimal"/>
      <w:lvlText w:val="%1.%2"/>
      <w:lvlJc w:val="left"/>
      <w:pPr>
        <w:ind w:left="2430" w:hanging="720"/>
      </w:pPr>
      <w:rPr>
        <w:rFonts w:hint="default"/>
      </w:rPr>
    </w:lvl>
    <w:lvl w:ilvl="2">
      <w:start w:val="4"/>
      <w:numFmt w:val="decimal"/>
      <w:lvlText w:val="%1.%2.%3"/>
      <w:lvlJc w:val="left"/>
      <w:pPr>
        <w:ind w:left="4140" w:hanging="720"/>
      </w:pPr>
      <w:rPr>
        <w:rFonts w:hint="default"/>
      </w:rPr>
    </w:lvl>
    <w:lvl w:ilvl="3">
      <w:start w:val="1"/>
      <w:numFmt w:val="decimal"/>
      <w:lvlText w:val="%1.%2.%3.%4"/>
      <w:lvlJc w:val="left"/>
      <w:pPr>
        <w:ind w:left="6210" w:hanging="108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990" w:hanging="1440"/>
      </w:pPr>
      <w:rPr>
        <w:rFonts w:hint="default"/>
      </w:rPr>
    </w:lvl>
    <w:lvl w:ilvl="6">
      <w:start w:val="1"/>
      <w:numFmt w:val="decimal"/>
      <w:lvlText w:val="%1.%2.%3.%4.%5.%6.%7"/>
      <w:lvlJc w:val="left"/>
      <w:pPr>
        <w:ind w:left="12060" w:hanging="1800"/>
      </w:pPr>
      <w:rPr>
        <w:rFonts w:hint="default"/>
      </w:rPr>
    </w:lvl>
    <w:lvl w:ilvl="7">
      <w:start w:val="1"/>
      <w:numFmt w:val="decimal"/>
      <w:lvlText w:val="%1.%2.%3.%4.%5.%6.%7.%8"/>
      <w:lvlJc w:val="left"/>
      <w:pPr>
        <w:ind w:left="13770" w:hanging="1800"/>
      </w:pPr>
      <w:rPr>
        <w:rFonts w:hint="default"/>
      </w:rPr>
    </w:lvl>
    <w:lvl w:ilvl="8">
      <w:start w:val="1"/>
      <w:numFmt w:val="decimal"/>
      <w:lvlText w:val="%1.%2.%3.%4.%5.%6.%7.%8.%9"/>
      <w:lvlJc w:val="left"/>
      <w:pPr>
        <w:ind w:left="15840" w:hanging="2160"/>
      </w:pPr>
      <w:rPr>
        <w:rFonts w:hint="default"/>
      </w:rPr>
    </w:lvl>
  </w:abstractNum>
  <w:abstractNum w:abstractNumId="4" w15:restartNumberingAfterBreak="0">
    <w:nsid w:val="14C912EF"/>
    <w:multiLevelType w:val="hybridMultilevel"/>
    <w:tmpl w:val="3B5CA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210C63"/>
    <w:multiLevelType w:val="multilevel"/>
    <w:tmpl w:val="49443F0C"/>
    <w:lvl w:ilvl="0">
      <w:start w:val="1"/>
      <w:numFmt w:val="decimal"/>
      <w:lvlText w:val="%1."/>
      <w:lvlJc w:val="left"/>
      <w:pPr>
        <w:tabs>
          <w:tab w:val="num" w:pos="720"/>
        </w:tabs>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720"/>
        </w:tabs>
        <w:ind w:left="108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
      <w:lvlJc w:val="left"/>
      <w:pPr>
        <w:tabs>
          <w:tab w:val="num" w:pos="1080"/>
        </w:tabs>
        <w:ind w:left="1440" w:hanging="360"/>
      </w:pPr>
      <w:rPr>
        <w:rFonts w:hint="default"/>
        <w:sz w:val="20"/>
        <w:szCs w:val="20"/>
      </w:rPr>
    </w:lvl>
    <w:lvl w:ilvl="5">
      <w:start w:val="1"/>
      <w:numFmt w:val="lowerLetter"/>
      <w:lvlText w:val="%6."/>
      <w:lvlJc w:val="left"/>
      <w:pPr>
        <w:tabs>
          <w:tab w:val="num" w:pos="1440"/>
        </w:tabs>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1800"/>
        </w:tabs>
        <w:ind w:left="288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6" w15:restartNumberingAfterBreak="0">
    <w:nsid w:val="1A444FCB"/>
    <w:multiLevelType w:val="multilevel"/>
    <w:tmpl w:val="AD54EA0A"/>
    <w:numStyleLink w:val="2022RFP"/>
  </w:abstractNum>
  <w:abstractNum w:abstractNumId="7" w15:restartNumberingAfterBreak="0">
    <w:nsid w:val="24923B04"/>
    <w:multiLevelType w:val="hybridMultilevel"/>
    <w:tmpl w:val="994472B2"/>
    <w:lvl w:ilvl="0" w:tplc="9FC240F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A26876"/>
    <w:multiLevelType w:val="hybridMultilevel"/>
    <w:tmpl w:val="732E0CC2"/>
    <w:lvl w:ilvl="0" w:tplc="14FEC42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CF093E"/>
    <w:multiLevelType w:val="hybridMultilevel"/>
    <w:tmpl w:val="7930C038"/>
    <w:lvl w:ilvl="0" w:tplc="6DA23A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B400E6"/>
    <w:multiLevelType w:val="multilevel"/>
    <w:tmpl w:val="10E0B80E"/>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bCs/>
        <w:sz w:val="24"/>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ascii="Times New Roman" w:hAnsi="Times New Roman" w:cs="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hint="default"/>
        <w:sz w:val="24"/>
      </w:rPr>
    </w:lvl>
    <w:lvl w:ilvl="5">
      <w:start w:val="1"/>
      <w:numFmt w:val="decimal"/>
      <w:lvlText w:val="%1.%2.%3.%4.%5.%6"/>
      <w:lvlJc w:val="left"/>
      <w:pPr>
        <w:tabs>
          <w:tab w:val="num" w:pos="0"/>
        </w:tabs>
        <w:ind w:left="0" w:firstLine="0"/>
      </w:pPr>
      <w:rPr>
        <w:rFonts w:hint="default"/>
        <w:sz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F1451BE"/>
    <w:multiLevelType w:val="multilevel"/>
    <w:tmpl w:val="29C24ADC"/>
    <w:lvl w:ilvl="0">
      <w:start w:val="1"/>
      <w:numFmt w:val="decimal"/>
      <w:lvlText w:val="%1."/>
      <w:lvlJc w:val="left"/>
      <w:pPr>
        <w:ind w:left="720" w:hanging="720"/>
      </w:pPr>
      <w:rPr>
        <w:rFonts w:ascii="Times New Roman Bold" w:hAnsi="Times New Roman Bold" w:hint="default"/>
        <w:b/>
        <w:i w:val="0"/>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ind w:left="1440" w:hanging="360"/>
      </w:pPr>
      <w:rPr>
        <w:rFonts w:ascii="Times New Roman" w:hAnsi="Times New Roman" w:hint="default"/>
        <w:b w:val="0"/>
        <w:i w:val="0"/>
        <w:sz w:val="20"/>
      </w:rPr>
    </w:lvl>
    <w:lvl w:ilvl="5">
      <w:start w:val="1"/>
      <w:numFmt w:val="lowerLetter"/>
      <w:lvlText w:val="%6."/>
      <w:lvlJc w:val="left"/>
      <w:pPr>
        <w:ind w:left="1800" w:hanging="360"/>
      </w:pPr>
      <w:rPr>
        <w:rFonts w:ascii="Times New Roman" w:hAnsi="Times New Roman" w:hint="default"/>
        <w:b w:val="0"/>
        <w:i w:val="0"/>
        <w:sz w:val="20"/>
      </w:rPr>
    </w:lvl>
    <w:lvl w:ilvl="6">
      <w:start w:val="1"/>
      <w:numFmt w:val="decimal"/>
      <w:lvlText w:val="%7."/>
      <w:lvlJc w:val="left"/>
      <w:pPr>
        <w:ind w:left="2160" w:hanging="360"/>
      </w:pPr>
      <w:rPr>
        <w:rFonts w:ascii="Times New Roman" w:hAnsi="Times New Roman" w:hint="default"/>
        <w:b w:val="0"/>
        <w:i w:val="0"/>
        <w:sz w:val="20"/>
      </w:rPr>
    </w:lvl>
    <w:lvl w:ilvl="7">
      <w:start w:val="1"/>
      <w:numFmt w:val="none"/>
      <w:lvlText w:val=""/>
      <w:lvlJc w:val="left"/>
      <w:pPr>
        <w:ind w:left="720" w:hanging="720"/>
      </w:pPr>
      <w:rPr>
        <w:rFonts w:ascii="Times New Roman" w:hAnsi="Times New Roman" w:hint="default"/>
        <w:b w:val="0"/>
        <w:i w:val="0"/>
        <w:sz w:val="20"/>
      </w:rPr>
    </w:lvl>
    <w:lvl w:ilvl="8">
      <w:start w:val="1"/>
      <w:numFmt w:val="none"/>
      <w:lvlText w:val=""/>
      <w:lvlJc w:val="left"/>
      <w:pPr>
        <w:ind w:left="720" w:hanging="720"/>
      </w:pPr>
      <w:rPr>
        <w:rFonts w:hint="default"/>
      </w:rPr>
    </w:lvl>
  </w:abstractNum>
  <w:abstractNum w:abstractNumId="12" w15:restartNumberingAfterBreak="0">
    <w:nsid w:val="31233E38"/>
    <w:multiLevelType w:val="hybridMultilevel"/>
    <w:tmpl w:val="6710433A"/>
    <w:lvl w:ilvl="0" w:tplc="E7EA8FC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7C6289"/>
    <w:multiLevelType w:val="multilevel"/>
    <w:tmpl w:val="E64C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420B0"/>
    <w:multiLevelType w:val="multilevel"/>
    <w:tmpl w:val="38789F90"/>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D0A6A14"/>
    <w:multiLevelType w:val="hybridMultilevel"/>
    <w:tmpl w:val="8B6C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56C1F"/>
    <w:multiLevelType w:val="hybridMultilevel"/>
    <w:tmpl w:val="5270E610"/>
    <w:lvl w:ilvl="0" w:tplc="897CE73C">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3034FB"/>
    <w:multiLevelType w:val="multilevel"/>
    <w:tmpl w:val="5C94F778"/>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8716DD9"/>
    <w:multiLevelType w:val="multilevel"/>
    <w:tmpl w:val="5AB0AD20"/>
    <w:lvl w:ilvl="0">
      <w:start w:val="1"/>
      <w:numFmt w:val="decimal"/>
      <w:lvlText w:val="%1."/>
      <w:lvlJc w:val="left"/>
      <w:pPr>
        <w:tabs>
          <w:tab w:val="num" w:pos="1440"/>
        </w:tabs>
        <w:ind w:left="720" w:hanging="720"/>
      </w:pPr>
      <w:rPr>
        <w:rFonts w:ascii="Times New Roman Bold" w:hAnsi="Times New Roman Bold"/>
        <w:b/>
        <w:i w:val="0"/>
        <w:caps/>
        <w:smallCaps w:val="0"/>
        <w:strike w:val="0"/>
        <w:dstrike w:val="0"/>
        <w:vanish w:val="0"/>
        <w:color w:val="000000"/>
        <w:sz w:val="20"/>
        <w:szCs w:val="20"/>
        <w:u w:val="none"/>
        <w:vertAlign w:val="baseline"/>
      </w:rPr>
    </w:lvl>
    <w:lvl w:ilvl="1">
      <w:start w:val="1"/>
      <w:numFmt w:val="decimal"/>
      <w:lvlText w:val="%1.%2"/>
      <w:lvlJc w:val="left"/>
      <w:pPr>
        <w:tabs>
          <w:tab w:val="num" w:pos="216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279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em w:val="none"/>
      </w:rPr>
    </w:lvl>
    <w:lvl w:ilvl="3">
      <w:start w:val="1"/>
      <w:numFmt w:val="upperLetter"/>
      <w:lvlText w:val="%4."/>
      <w:lvlJc w:val="left"/>
      <w:pPr>
        <w:tabs>
          <w:tab w:val="num" w:pos="3600"/>
        </w:tabs>
        <w:ind w:left="108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4320"/>
        </w:tabs>
        <w:ind w:left="1440" w:hanging="360"/>
      </w:pPr>
      <w:rPr>
        <w:rFonts w:hint="default"/>
        <w:sz w:val="20"/>
        <w:szCs w:val="20"/>
      </w:rPr>
    </w:lvl>
    <w:lvl w:ilvl="5">
      <w:start w:val="1"/>
      <w:numFmt w:val="lowerLetter"/>
      <w:lvlText w:val="%6."/>
      <w:lvlJc w:val="left"/>
      <w:pPr>
        <w:tabs>
          <w:tab w:val="num" w:pos="5040"/>
        </w:tabs>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5760"/>
        </w:tabs>
        <w:ind w:left="21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4CDC5E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3A1A74"/>
    <w:multiLevelType w:val="multilevel"/>
    <w:tmpl w:val="C9729138"/>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1" w15:restartNumberingAfterBreak="0">
    <w:nsid w:val="629B13D1"/>
    <w:multiLevelType w:val="multilevel"/>
    <w:tmpl w:val="38789F90"/>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3C12B9C"/>
    <w:multiLevelType w:val="multilevel"/>
    <w:tmpl w:val="C05ADA16"/>
    <w:lvl w:ilvl="0">
      <w:start w:val="1"/>
      <w:numFmt w:val="decimal"/>
      <w:lvlText w:val="%1."/>
      <w:lvlJc w:val="left"/>
      <w:pPr>
        <w:tabs>
          <w:tab w:val="num" w:pos="720"/>
        </w:tabs>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
      <w:lvlJc w:val="left"/>
      <w:pPr>
        <w:tabs>
          <w:tab w:val="num" w:pos="3600"/>
        </w:tabs>
        <w:ind w:left="3600" w:hanging="720"/>
      </w:pPr>
      <w:rPr>
        <w:rFonts w:hint="default"/>
        <w:sz w:val="20"/>
        <w:szCs w:val="20"/>
      </w:rPr>
    </w:lvl>
    <w:lvl w:ilvl="5">
      <w:start w:val="1"/>
      <w:numFmt w:val="decimal"/>
      <w:lvlText w:val="%6."/>
      <w:lvlJc w:val="left"/>
      <w:pPr>
        <w:tabs>
          <w:tab w:val="num" w:pos="4320"/>
        </w:tabs>
        <w:ind w:left="43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5040"/>
        </w:tabs>
        <w:ind w:left="50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7F5631D"/>
    <w:multiLevelType w:val="multilevel"/>
    <w:tmpl w:val="AD54EA0A"/>
    <w:styleLink w:val="2022RFP"/>
    <w:lvl w:ilvl="0">
      <w:start w:val="1"/>
      <w:numFmt w:val="decimal"/>
      <w:pStyle w:val="Heading1"/>
      <w:lvlText w:val="%1."/>
      <w:lvlJc w:val="left"/>
      <w:pPr>
        <w:ind w:left="720" w:hanging="720"/>
      </w:pPr>
      <w:rPr>
        <w:b/>
        <w:i w:val="0"/>
        <w:caps/>
        <w:sz w:val="20"/>
      </w:rPr>
    </w:lvl>
    <w:lvl w:ilvl="1">
      <w:start w:val="1"/>
      <w:numFmt w:val="decimal"/>
      <w:pStyle w:val="Heading2"/>
      <w:lvlText w:val="%1.%2."/>
      <w:lvlJc w:val="left"/>
      <w:pPr>
        <w:ind w:left="720" w:hanging="720"/>
      </w:pPr>
      <w:rPr>
        <w:b w:val="0"/>
        <w:i w:val="0"/>
        <w:sz w:val="20"/>
      </w:rPr>
    </w:lvl>
    <w:lvl w:ilvl="2">
      <w:start w:val="1"/>
      <w:numFmt w:val="decimal"/>
      <w:pStyle w:val="Heading3"/>
      <w:lvlText w:val="%1.%2.%3."/>
      <w:lvlJc w:val="left"/>
      <w:pPr>
        <w:ind w:left="720" w:hanging="720"/>
      </w:pPr>
      <w:rPr>
        <w:b w:val="0"/>
        <w:i w:val="0"/>
        <w:sz w:val="20"/>
      </w:rPr>
    </w:lvl>
    <w:lvl w:ilvl="3">
      <w:start w:val="1"/>
      <w:numFmt w:val="upperLetter"/>
      <w:pStyle w:val="Heading4"/>
      <w:lvlText w:val="%4."/>
      <w:lvlJc w:val="left"/>
      <w:pPr>
        <w:ind w:left="1080" w:hanging="360"/>
      </w:pPr>
      <w:rPr>
        <w:b w:val="0"/>
        <w:i w:val="0"/>
        <w:sz w:val="20"/>
      </w:rPr>
    </w:lvl>
    <w:lvl w:ilvl="4">
      <w:start w:val="1"/>
      <w:numFmt w:val="decimal"/>
      <w:pStyle w:val="Heading5"/>
      <w:lvlText w:val="%5."/>
      <w:lvlJc w:val="left"/>
      <w:pPr>
        <w:tabs>
          <w:tab w:val="num" w:pos="1080"/>
        </w:tabs>
        <w:ind w:left="1440" w:hanging="360"/>
      </w:pPr>
      <w:rPr>
        <w:b w:val="0"/>
        <w:i w:val="0"/>
        <w:sz w:val="20"/>
      </w:rPr>
    </w:lvl>
    <w:lvl w:ilvl="5">
      <w:start w:val="1"/>
      <w:numFmt w:val="upperLetter"/>
      <w:pStyle w:val="Heading6"/>
      <w:lvlText w:val="%6."/>
      <w:lvlJc w:val="left"/>
      <w:pPr>
        <w:tabs>
          <w:tab w:val="num" w:pos="1440"/>
        </w:tabs>
        <w:ind w:left="1800" w:hanging="360"/>
      </w:pPr>
      <w:rPr>
        <w:b w:val="0"/>
        <w:i w:val="0"/>
        <w:sz w:val="20"/>
      </w:rPr>
    </w:lvl>
    <w:lvl w:ilvl="6">
      <w:start w:val="1"/>
      <w:numFmt w:val="decimal"/>
      <w:pStyle w:val="Heading7"/>
      <w:suff w:val="nothing"/>
      <w:lvlText w:val=""/>
      <w:lvlJc w:val="left"/>
      <w:pPr>
        <w:ind w:left="720" w:hanging="720"/>
      </w:pPr>
      <w:rPr>
        <w:b w:val="0"/>
        <w:i w:val="0"/>
        <w:sz w:val="20"/>
      </w:rPr>
    </w:lvl>
    <w:lvl w:ilvl="7">
      <w:start w:val="1"/>
      <w:numFmt w:val="decimal"/>
      <w:pStyle w:val="Heading8"/>
      <w:suff w:val="nothing"/>
      <w:lvlText w:val=""/>
      <w:lvlJc w:val="left"/>
      <w:pPr>
        <w:ind w:left="720" w:hanging="720"/>
      </w:pPr>
      <w:rPr>
        <w:b w:val="0"/>
        <w:i w:val="0"/>
        <w:sz w:val="20"/>
      </w:rPr>
    </w:lvl>
    <w:lvl w:ilvl="8">
      <w:start w:val="1"/>
      <w:numFmt w:val="decimal"/>
      <w:pStyle w:val="Heading9"/>
      <w:suff w:val="nothing"/>
      <w:lvlText w:val=""/>
      <w:lvlJc w:val="left"/>
      <w:pPr>
        <w:ind w:left="720" w:hanging="720"/>
      </w:pPr>
      <w:rPr>
        <w:b w:val="0"/>
        <w:i w:val="0"/>
        <w:sz w:val="20"/>
      </w:rPr>
    </w:lvl>
  </w:abstractNum>
  <w:abstractNum w:abstractNumId="24" w15:restartNumberingAfterBreak="0">
    <w:nsid w:val="687940DF"/>
    <w:multiLevelType w:val="multilevel"/>
    <w:tmpl w:val="38789F90"/>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E731164"/>
    <w:multiLevelType w:val="hybridMultilevel"/>
    <w:tmpl w:val="D7CE92EE"/>
    <w:lvl w:ilvl="0" w:tplc="2924B83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623988"/>
    <w:multiLevelType w:val="multilevel"/>
    <w:tmpl w:val="3E90685C"/>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5702C9F"/>
    <w:multiLevelType w:val="multilevel"/>
    <w:tmpl w:val="3328E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57D1B1A"/>
    <w:multiLevelType w:val="multilevel"/>
    <w:tmpl w:val="10E0B80E"/>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bCs/>
        <w:sz w:val="24"/>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ascii="Times New Roman" w:hAnsi="Times New Roman" w:cs="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hint="default"/>
        <w:sz w:val="24"/>
      </w:rPr>
    </w:lvl>
    <w:lvl w:ilvl="5">
      <w:start w:val="1"/>
      <w:numFmt w:val="decimal"/>
      <w:lvlText w:val="%1.%2.%3.%4.%5.%6"/>
      <w:lvlJc w:val="left"/>
      <w:pPr>
        <w:tabs>
          <w:tab w:val="num" w:pos="0"/>
        </w:tabs>
        <w:ind w:left="0" w:firstLine="0"/>
      </w:pPr>
      <w:rPr>
        <w:rFonts w:hint="default"/>
        <w:sz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607462A"/>
    <w:multiLevelType w:val="hybridMultilevel"/>
    <w:tmpl w:val="14682B8A"/>
    <w:lvl w:ilvl="0" w:tplc="9D985EA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84866683">
    <w:abstractNumId w:val="28"/>
  </w:num>
  <w:num w:numId="2" w16cid:durableId="2066175247">
    <w:abstractNumId w:val="1"/>
  </w:num>
  <w:num w:numId="3" w16cid:durableId="1941451551">
    <w:abstractNumId w:val="18"/>
  </w:num>
  <w:num w:numId="4" w16cid:durableId="1793669580">
    <w:abstractNumId w:val="0"/>
  </w:num>
  <w:num w:numId="5" w16cid:durableId="587689631">
    <w:abstractNumId w:val="21"/>
  </w:num>
  <w:num w:numId="6" w16cid:durableId="351802730">
    <w:abstractNumId w:val="24"/>
  </w:num>
  <w:num w:numId="7" w16cid:durableId="1598562036">
    <w:abstractNumId w:val="26"/>
  </w:num>
  <w:num w:numId="8" w16cid:durableId="301740081">
    <w:abstractNumId w:val="22"/>
  </w:num>
  <w:num w:numId="9" w16cid:durableId="1124542705">
    <w:abstractNumId w:val="13"/>
  </w:num>
  <w:num w:numId="10" w16cid:durableId="1120757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1236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302679">
    <w:abstractNumId w:val="7"/>
  </w:num>
  <w:num w:numId="13" w16cid:durableId="1319963308">
    <w:abstractNumId w:val="25"/>
  </w:num>
  <w:num w:numId="14" w16cid:durableId="2107653001">
    <w:abstractNumId w:val="9"/>
  </w:num>
  <w:num w:numId="15" w16cid:durableId="586428561">
    <w:abstractNumId w:val="29"/>
  </w:num>
  <w:num w:numId="16" w16cid:durableId="1426146389">
    <w:abstractNumId w:val="16"/>
  </w:num>
  <w:num w:numId="17" w16cid:durableId="560215316">
    <w:abstractNumId w:val="12"/>
  </w:num>
  <w:num w:numId="18" w16cid:durableId="433013213">
    <w:abstractNumId w:val="8"/>
  </w:num>
  <w:num w:numId="19" w16cid:durableId="912814793">
    <w:abstractNumId w:val="5"/>
  </w:num>
  <w:num w:numId="20" w16cid:durableId="798452122">
    <w:abstractNumId w:val="17"/>
  </w:num>
  <w:num w:numId="21" w16cid:durableId="1414547782">
    <w:abstractNumId w:val="11"/>
  </w:num>
  <w:num w:numId="22" w16cid:durableId="952636403">
    <w:abstractNumId w:val="11"/>
  </w:num>
  <w:num w:numId="23" w16cid:durableId="899442297">
    <w:abstractNumId w:val="10"/>
  </w:num>
  <w:num w:numId="24" w16cid:durableId="964431364">
    <w:abstractNumId w:val="14"/>
  </w:num>
  <w:num w:numId="25" w16cid:durableId="63601025">
    <w:abstractNumId w:val="27"/>
  </w:num>
  <w:num w:numId="26" w16cid:durableId="1107459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9412440">
    <w:abstractNumId w:val="19"/>
  </w:num>
  <w:num w:numId="28" w16cid:durableId="303002478">
    <w:abstractNumId w:val="23"/>
  </w:num>
  <w:num w:numId="29" w16cid:durableId="1513717028">
    <w:abstractNumId w:val="6"/>
  </w:num>
  <w:num w:numId="30" w16cid:durableId="517693855">
    <w:abstractNumId w:val="6"/>
  </w:num>
  <w:num w:numId="31" w16cid:durableId="914821192">
    <w:abstractNumId w:val="6"/>
  </w:num>
  <w:num w:numId="32" w16cid:durableId="1396008638">
    <w:abstractNumId w:val="6"/>
  </w:num>
  <w:num w:numId="33" w16cid:durableId="883835266">
    <w:abstractNumId w:val="6"/>
  </w:num>
  <w:num w:numId="34" w16cid:durableId="482477824">
    <w:abstractNumId w:val="6"/>
  </w:num>
  <w:num w:numId="35" w16cid:durableId="5253295">
    <w:abstractNumId w:val="6"/>
  </w:num>
  <w:num w:numId="36" w16cid:durableId="836577272">
    <w:abstractNumId w:val="6"/>
  </w:num>
  <w:num w:numId="37" w16cid:durableId="1336491178">
    <w:abstractNumId w:val="6"/>
  </w:num>
  <w:num w:numId="38" w16cid:durableId="2057586918">
    <w:abstractNumId w:val="15"/>
  </w:num>
  <w:num w:numId="39" w16cid:durableId="1469007688">
    <w:abstractNumId w:val="2"/>
  </w:num>
  <w:num w:numId="40" w16cid:durableId="2043237286">
    <w:abstractNumId w:val="3"/>
  </w:num>
  <w:num w:numId="41" w16cid:durableId="1315530159">
    <w:abstractNumId w:val="4"/>
  </w:num>
  <w:num w:numId="42" w16cid:durableId="414281067">
    <w:abstractNumId w:val="6"/>
  </w:num>
  <w:num w:numId="43" w16cid:durableId="172976316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CA"/>
    <w:rsid w:val="000005E2"/>
    <w:rsid w:val="00004664"/>
    <w:rsid w:val="000058F6"/>
    <w:rsid w:val="00014C4D"/>
    <w:rsid w:val="0001558F"/>
    <w:rsid w:val="00021B59"/>
    <w:rsid w:val="0002250A"/>
    <w:rsid w:val="000249A8"/>
    <w:rsid w:val="00025A3A"/>
    <w:rsid w:val="00025B91"/>
    <w:rsid w:val="000276E9"/>
    <w:rsid w:val="0003023A"/>
    <w:rsid w:val="00033B0C"/>
    <w:rsid w:val="000371D0"/>
    <w:rsid w:val="00042090"/>
    <w:rsid w:val="0004248E"/>
    <w:rsid w:val="0004287A"/>
    <w:rsid w:val="00044217"/>
    <w:rsid w:val="00044937"/>
    <w:rsid w:val="0004689E"/>
    <w:rsid w:val="00047105"/>
    <w:rsid w:val="0004767C"/>
    <w:rsid w:val="00050C86"/>
    <w:rsid w:val="00051D94"/>
    <w:rsid w:val="00053EE3"/>
    <w:rsid w:val="00060594"/>
    <w:rsid w:val="00064FE7"/>
    <w:rsid w:val="0007400C"/>
    <w:rsid w:val="00090666"/>
    <w:rsid w:val="000943B1"/>
    <w:rsid w:val="0009630D"/>
    <w:rsid w:val="000966E4"/>
    <w:rsid w:val="00096725"/>
    <w:rsid w:val="000974BF"/>
    <w:rsid w:val="000A2004"/>
    <w:rsid w:val="000A5780"/>
    <w:rsid w:val="000A5C45"/>
    <w:rsid w:val="000A5FE4"/>
    <w:rsid w:val="000A6C18"/>
    <w:rsid w:val="000B014C"/>
    <w:rsid w:val="000B0713"/>
    <w:rsid w:val="000B07CC"/>
    <w:rsid w:val="000B1C3D"/>
    <w:rsid w:val="000B1E8B"/>
    <w:rsid w:val="000B2CE5"/>
    <w:rsid w:val="000B5C54"/>
    <w:rsid w:val="000C20FD"/>
    <w:rsid w:val="000C5876"/>
    <w:rsid w:val="000C6FAA"/>
    <w:rsid w:val="000C7F0B"/>
    <w:rsid w:val="000D2251"/>
    <w:rsid w:val="000D2FF1"/>
    <w:rsid w:val="000E1B09"/>
    <w:rsid w:val="000E3465"/>
    <w:rsid w:val="000E350B"/>
    <w:rsid w:val="000E3DFD"/>
    <w:rsid w:val="000F013F"/>
    <w:rsid w:val="000F0ABF"/>
    <w:rsid w:val="000F2B05"/>
    <w:rsid w:val="000F619F"/>
    <w:rsid w:val="000F6884"/>
    <w:rsid w:val="000F790B"/>
    <w:rsid w:val="00101306"/>
    <w:rsid w:val="0010495B"/>
    <w:rsid w:val="00104A2B"/>
    <w:rsid w:val="00112CA6"/>
    <w:rsid w:val="0012225F"/>
    <w:rsid w:val="001265EB"/>
    <w:rsid w:val="001324B9"/>
    <w:rsid w:val="00147EE8"/>
    <w:rsid w:val="00152455"/>
    <w:rsid w:val="001530A7"/>
    <w:rsid w:val="001539A4"/>
    <w:rsid w:val="00153BCB"/>
    <w:rsid w:val="001543A1"/>
    <w:rsid w:val="0015501C"/>
    <w:rsid w:val="00155376"/>
    <w:rsid w:val="00160372"/>
    <w:rsid w:val="001658B9"/>
    <w:rsid w:val="001735B9"/>
    <w:rsid w:val="001760B6"/>
    <w:rsid w:val="00180E3F"/>
    <w:rsid w:val="001852F8"/>
    <w:rsid w:val="001855A7"/>
    <w:rsid w:val="00191A57"/>
    <w:rsid w:val="00196B4F"/>
    <w:rsid w:val="00197446"/>
    <w:rsid w:val="001A22FA"/>
    <w:rsid w:val="001A4BA4"/>
    <w:rsid w:val="001B19D7"/>
    <w:rsid w:val="001C067D"/>
    <w:rsid w:val="001C22CA"/>
    <w:rsid w:val="001C23D7"/>
    <w:rsid w:val="001C2AB5"/>
    <w:rsid w:val="001C645E"/>
    <w:rsid w:val="001D00CF"/>
    <w:rsid w:val="001D14F1"/>
    <w:rsid w:val="001D2FF7"/>
    <w:rsid w:val="001D44B2"/>
    <w:rsid w:val="001D7FFA"/>
    <w:rsid w:val="001E3457"/>
    <w:rsid w:val="001E58EC"/>
    <w:rsid w:val="001E641C"/>
    <w:rsid w:val="001F5B4F"/>
    <w:rsid w:val="001F7449"/>
    <w:rsid w:val="00200A55"/>
    <w:rsid w:val="00201F49"/>
    <w:rsid w:val="00202B6D"/>
    <w:rsid w:val="00202C5B"/>
    <w:rsid w:val="00203EC3"/>
    <w:rsid w:val="00205D97"/>
    <w:rsid w:val="002063FC"/>
    <w:rsid w:val="0020678D"/>
    <w:rsid w:val="00207B37"/>
    <w:rsid w:val="002118A9"/>
    <w:rsid w:val="0021376D"/>
    <w:rsid w:val="0021421F"/>
    <w:rsid w:val="00216976"/>
    <w:rsid w:val="0022060D"/>
    <w:rsid w:val="002242CA"/>
    <w:rsid w:val="002245FC"/>
    <w:rsid w:val="0023040C"/>
    <w:rsid w:val="00233863"/>
    <w:rsid w:val="00233D7E"/>
    <w:rsid w:val="00235CE4"/>
    <w:rsid w:val="00240347"/>
    <w:rsid w:val="00240E2B"/>
    <w:rsid w:val="00244AC0"/>
    <w:rsid w:val="002458DB"/>
    <w:rsid w:val="0024661C"/>
    <w:rsid w:val="00246CBF"/>
    <w:rsid w:val="0025181B"/>
    <w:rsid w:val="00254797"/>
    <w:rsid w:val="002566A1"/>
    <w:rsid w:val="0026212B"/>
    <w:rsid w:val="00262766"/>
    <w:rsid w:val="00262D92"/>
    <w:rsid w:val="00264A21"/>
    <w:rsid w:val="00266802"/>
    <w:rsid w:val="0027159D"/>
    <w:rsid w:val="002727A2"/>
    <w:rsid w:val="00281323"/>
    <w:rsid w:val="0028370B"/>
    <w:rsid w:val="00287649"/>
    <w:rsid w:val="00287E94"/>
    <w:rsid w:val="00291522"/>
    <w:rsid w:val="0029235C"/>
    <w:rsid w:val="002934F0"/>
    <w:rsid w:val="0029420B"/>
    <w:rsid w:val="00294C68"/>
    <w:rsid w:val="00295425"/>
    <w:rsid w:val="00297A2B"/>
    <w:rsid w:val="002A20BC"/>
    <w:rsid w:val="002A20CB"/>
    <w:rsid w:val="002B01E1"/>
    <w:rsid w:val="002B2BF2"/>
    <w:rsid w:val="002B64E4"/>
    <w:rsid w:val="002B726B"/>
    <w:rsid w:val="002B7BB9"/>
    <w:rsid w:val="002C3CE4"/>
    <w:rsid w:val="002C66DA"/>
    <w:rsid w:val="002D1A68"/>
    <w:rsid w:val="002D5CA9"/>
    <w:rsid w:val="002E15D7"/>
    <w:rsid w:val="002F1115"/>
    <w:rsid w:val="002F14B8"/>
    <w:rsid w:val="002F7107"/>
    <w:rsid w:val="00301A33"/>
    <w:rsid w:val="0030284F"/>
    <w:rsid w:val="003032FE"/>
    <w:rsid w:val="003036E0"/>
    <w:rsid w:val="00305BC0"/>
    <w:rsid w:val="00305F44"/>
    <w:rsid w:val="00307E07"/>
    <w:rsid w:val="003118CA"/>
    <w:rsid w:val="003140AC"/>
    <w:rsid w:val="00314349"/>
    <w:rsid w:val="0031674C"/>
    <w:rsid w:val="003168D7"/>
    <w:rsid w:val="00323303"/>
    <w:rsid w:val="00323AD1"/>
    <w:rsid w:val="003263AA"/>
    <w:rsid w:val="00333F36"/>
    <w:rsid w:val="00335A86"/>
    <w:rsid w:val="003379A8"/>
    <w:rsid w:val="00343444"/>
    <w:rsid w:val="003453F4"/>
    <w:rsid w:val="00354CB6"/>
    <w:rsid w:val="0035709A"/>
    <w:rsid w:val="003622B2"/>
    <w:rsid w:val="003654D5"/>
    <w:rsid w:val="00365812"/>
    <w:rsid w:val="0037204D"/>
    <w:rsid w:val="00372CF6"/>
    <w:rsid w:val="00376AC2"/>
    <w:rsid w:val="00377C68"/>
    <w:rsid w:val="00380ED7"/>
    <w:rsid w:val="003813B2"/>
    <w:rsid w:val="003837AC"/>
    <w:rsid w:val="003839CC"/>
    <w:rsid w:val="00396143"/>
    <w:rsid w:val="003A32F7"/>
    <w:rsid w:val="003A37B2"/>
    <w:rsid w:val="003A4702"/>
    <w:rsid w:val="003A4F47"/>
    <w:rsid w:val="003A716F"/>
    <w:rsid w:val="003B1ECB"/>
    <w:rsid w:val="003B3F79"/>
    <w:rsid w:val="003B6B5A"/>
    <w:rsid w:val="003B6DF8"/>
    <w:rsid w:val="003C23D5"/>
    <w:rsid w:val="003C4329"/>
    <w:rsid w:val="003C6489"/>
    <w:rsid w:val="003C7C4F"/>
    <w:rsid w:val="003D0266"/>
    <w:rsid w:val="003D0D8E"/>
    <w:rsid w:val="003D1E0E"/>
    <w:rsid w:val="003D260A"/>
    <w:rsid w:val="003D2C7F"/>
    <w:rsid w:val="003D5F13"/>
    <w:rsid w:val="003E0EAD"/>
    <w:rsid w:val="003E4695"/>
    <w:rsid w:val="003F2F8F"/>
    <w:rsid w:val="003F4392"/>
    <w:rsid w:val="003F5E44"/>
    <w:rsid w:val="00403A9E"/>
    <w:rsid w:val="00405B26"/>
    <w:rsid w:val="00411933"/>
    <w:rsid w:val="004154FC"/>
    <w:rsid w:val="00416BEE"/>
    <w:rsid w:val="004174EF"/>
    <w:rsid w:val="004211DE"/>
    <w:rsid w:val="0042226A"/>
    <w:rsid w:val="00425646"/>
    <w:rsid w:val="00430A57"/>
    <w:rsid w:val="00430FAF"/>
    <w:rsid w:val="00437ADD"/>
    <w:rsid w:val="00442A39"/>
    <w:rsid w:val="00447B89"/>
    <w:rsid w:val="00450E6F"/>
    <w:rsid w:val="00452DAB"/>
    <w:rsid w:val="00457BC4"/>
    <w:rsid w:val="0046205A"/>
    <w:rsid w:val="00463503"/>
    <w:rsid w:val="004645F7"/>
    <w:rsid w:val="00464CE1"/>
    <w:rsid w:val="00470B98"/>
    <w:rsid w:val="00473394"/>
    <w:rsid w:val="004743AC"/>
    <w:rsid w:val="00480048"/>
    <w:rsid w:val="00480878"/>
    <w:rsid w:val="00485BEA"/>
    <w:rsid w:val="0048612E"/>
    <w:rsid w:val="00497142"/>
    <w:rsid w:val="004A16BC"/>
    <w:rsid w:val="004B2F10"/>
    <w:rsid w:val="004B51CC"/>
    <w:rsid w:val="004B6068"/>
    <w:rsid w:val="004C2217"/>
    <w:rsid w:val="004C4C63"/>
    <w:rsid w:val="004C6491"/>
    <w:rsid w:val="004D0C28"/>
    <w:rsid w:val="004D15AF"/>
    <w:rsid w:val="004D1F62"/>
    <w:rsid w:val="004D3B3F"/>
    <w:rsid w:val="004D7D81"/>
    <w:rsid w:val="004E04B0"/>
    <w:rsid w:val="004E097E"/>
    <w:rsid w:val="004E0F3B"/>
    <w:rsid w:val="004E25D0"/>
    <w:rsid w:val="004E5916"/>
    <w:rsid w:val="004F26AB"/>
    <w:rsid w:val="004F2D52"/>
    <w:rsid w:val="004F45EE"/>
    <w:rsid w:val="00501115"/>
    <w:rsid w:val="00501739"/>
    <w:rsid w:val="00501C93"/>
    <w:rsid w:val="00502439"/>
    <w:rsid w:val="00512951"/>
    <w:rsid w:val="00513959"/>
    <w:rsid w:val="00513FA5"/>
    <w:rsid w:val="00516454"/>
    <w:rsid w:val="005179C8"/>
    <w:rsid w:val="005224A8"/>
    <w:rsid w:val="00524655"/>
    <w:rsid w:val="005374CB"/>
    <w:rsid w:val="005432B0"/>
    <w:rsid w:val="00545FD8"/>
    <w:rsid w:val="00547F4C"/>
    <w:rsid w:val="005515B9"/>
    <w:rsid w:val="00560435"/>
    <w:rsid w:val="0056247C"/>
    <w:rsid w:val="005627D0"/>
    <w:rsid w:val="00567489"/>
    <w:rsid w:val="0057240B"/>
    <w:rsid w:val="00575978"/>
    <w:rsid w:val="00577844"/>
    <w:rsid w:val="00580F97"/>
    <w:rsid w:val="00586055"/>
    <w:rsid w:val="005926D5"/>
    <w:rsid w:val="0059464C"/>
    <w:rsid w:val="00595598"/>
    <w:rsid w:val="0059577F"/>
    <w:rsid w:val="00597080"/>
    <w:rsid w:val="005A04C0"/>
    <w:rsid w:val="005A359E"/>
    <w:rsid w:val="005A5698"/>
    <w:rsid w:val="005B0765"/>
    <w:rsid w:val="005B339D"/>
    <w:rsid w:val="005B62D0"/>
    <w:rsid w:val="005C01AF"/>
    <w:rsid w:val="005C1D75"/>
    <w:rsid w:val="005C53E6"/>
    <w:rsid w:val="005C643D"/>
    <w:rsid w:val="005D263C"/>
    <w:rsid w:val="005D6B73"/>
    <w:rsid w:val="005D72DB"/>
    <w:rsid w:val="005E125D"/>
    <w:rsid w:val="005E1ED6"/>
    <w:rsid w:val="005E2A2F"/>
    <w:rsid w:val="005E339F"/>
    <w:rsid w:val="005E41CA"/>
    <w:rsid w:val="005E656E"/>
    <w:rsid w:val="005E670B"/>
    <w:rsid w:val="005F4530"/>
    <w:rsid w:val="005F5005"/>
    <w:rsid w:val="005F6522"/>
    <w:rsid w:val="006006F0"/>
    <w:rsid w:val="00607093"/>
    <w:rsid w:val="00607BBA"/>
    <w:rsid w:val="00610712"/>
    <w:rsid w:val="0061181A"/>
    <w:rsid w:val="00612FDF"/>
    <w:rsid w:val="00614252"/>
    <w:rsid w:val="006146DF"/>
    <w:rsid w:val="006159C6"/>
    <w:rsid w:val="00617D9C"/>
    <w:rsid w:val="00620E0F"/>
    <w:rsid w:val="006215FE"/>
    <w:rsid w:val="00621D22"/>
    <w:rsid w:val="00622794"/>
    <w:rsid w:val="00622934"/>
    <w:rsid w:val="006245FC"/>
    <w:rsid w:val="00633513"/>
    <w:rsid w:val="00635F05"/>
    <w:rsid w:val="00640E23"/>
    <w:rsid w:val="006410FC"/>
    <w:rsid w:val="00652786"/>
    <w:rsid w:val="00664709"/>
    <w:rsid w:val="006700EC"/>
    <w:rsid w:val="0067183F"/>
    <w:rsid w:val="0067426E"/>
    <w:rsid w:val="00682A0C"/>
    <w:rsid w:val="006844F3"/>
    <w:rsid w:val="00685064"/>
    <w:rsid w:val="00687C1F"/>
    <w:rsid w:val="006A0379"/>
    <w:rsid w:val="006A5214"/>
    <w:rsid w:val="006A5BC5"/>
    <w:rsid w:val="006B1009"/>
    <w:rsid w:val="006B5FE0"/>
    <w:rsid w:val="006C07CC"/>
    <w:rsid w:val="006C3136"/>
    <w:rsid w:val="006C59E6"/>
    <w:rsid w:val="006D4E02"/>
    <w:rsid w:val="006D78AA"/>
    <w:rsid w:val="006E1CCE"/>
    <w:rsid w:val="006E28B1"/>
    <w:rsid w:val="006E4643"/>
    <w:rsid w:val="006F368F"/>
    <w:rsid w:val="006F5053"/>
    <w:rsid w:val="006F5B09"/>
    <w:rsid w:val="006F64EA"/>
    <w:rsid w:val="006F6504"/>
    <w:rsid w:val="00700DCC"/>
    <w:rsid w:val="00700F5D"/>
    <w:rsid w:val="007011FD"/>
    <w:rsid w:val="00701400"/>
    <w:rsid w:val="00701D87"/>
    <w:rsid w:val="0070493D"/>
    <w:rsid w:val="007106C9"/>
    <w:rsid w:val="007126C0"/>
    <w:rsid w:val="007133E8"/>
    <w:rsid w:val="00720184"/>
    <w:rsid w:val="007204F0"/>
    <w:rsid w:val="00720C7B"/>
    <w:rsid w:val="00721149"/>
    <w:rsid w:val="00725332"/>
    <w:rsid w:val="007261FD"/>
    <w:rsid w:val="007270C7"/>
    <w:rsid w:val="00730597"/>
    <w:rsid w:val="007326E5"/>
    <w:rsid w:val="0073350E"/>
    <w:rsid w:val="00735813"/>
    <w:rsid w:val="00750F87"/>
    <w:rsid w:val="0075236F"/>
    <w:rsid w:val="00756043"/>
    <w:rsid w:val="007574FF"/>
    <w:rsid w:val="007600DB"/>
    <w:rsid w:val="0076218F"/>
    <w:rsid w:val="00762DF8"/>
    <w:rsid w:val="00763FFB"/>
    <w:rsid w:val="00770328"/>
    <w:rsid w:val="00772E0E"/>
    <w:rsid w:val="007764F4"/>
    <w:rsid w:val="00776789"/>
    <w:rsid w:val="0078011E"/>
    <w:rsid w:val="00781A9C"/>
    <w:rsid w:val="007840FF"/>
    <w:rsid w:val="00785D00"/>
    <w:rsid w:val="00786390"/>
    <w:rsid w:val="0079018D"/>
    <w:rsid w:val="00791F2A"/>
    <w:rsid w:val="00795F3F"/>
    <w:rsid w:val="007A2402"/>
    <w:rsid w:val="007A6029"/>
    <w:rsid w:val="007A619F"/>
    <w:rsid w:val="007A7D18"/>
    <w:rsid w:val="007B465E"/>
    <w:rsid w:val="007B4BDE"/>
    <w:rsid w:val="007C041D"/>
    <w:rsid w:val="007C1322"/>
    <w:rsid w:val="007C531F"/>
    <w:rsid w:val="007C7573"/>
    <w:rsid w:val="007C7D8F"/>
    <w:rsid w:val="007D1F43"/>
    <w:rsid w:val="007D37CB"/>
    <w:rsid w:val="007D58C4"/>
    <w:rsid w:val="007D79E3"/>
    <w:rsid w:val="007F0E8B"/>
    <w:rsid w:val="007F278A"/>
    <w:rsid w:val="007F56E5"/>
    <w:rsid w:val="007F5906"/>
    <w:rsid w:val="008007AC"/>
    <w:rsid w:val="00804739"/>
    <w:rsid w:val="00804E18"/>
    <w:rsid w:val="008122E9"/>
    <w:rsid w:val="00816810"/>
    <w:rsid w:val="0082268C"/>
    <w:rsid w:val="008236A6"/>
    <w:rsid w:val="0083016B"/>
    <w:rsid w:val="00834F8A"/>
    <w:rsid w:val="008350C8"/>
    <w:rsid w:val="008357FE"/>
    <w:rsid w:val="008366C6"/>
    <w:rsid w:val="00837050"/>
    <w:rsid w:val="00840A72"/>
    <w:rsid w:val="00844086"/>
    <w:rsid w:val="00850C8A"/>
    <w:rsid w:val="0085550D"/>
    <w:rsid w:val="0085760D"/>
    <w:rsid w:val="0086378C"/>
    <w:rsid w:val="00864B43"/>
    <w:rsid w:val="00866686"/>
    <w:rsid w:val="00870BC6"/>
    <w:rsid w:val="00873F92"/>
    <w:rsid w:val="00875B0F"/>
    <w:rsid w:val="00876B0B"/>
    <w:rsid w:val="00876C65"/>
    <w:rsid w:val="00890020"/>
    <w:rsid w:val="00890C71"/>
    <w:rsid w:val="008A02CB"/>
    <w:rsid w:val="008A48ED"/>
    <w:rsid w:val="008B0D85"/>
    <w:rsid w:val="008B2693"/>
    <w:rsid w:val="008B2AAF"/>
    <w:rsid w:val="008B3202"/>
    <w:rsid w:val="008B4C30"/>
    <w:rsid w:val="008B77CB"/>
    <w:rsid w:val="008B7EA8"/>
    <w:rsid w:val="008C089E"/>
    <w:rsid w:val="008C2CF2"/>
    <w:rsid w:val="008C46A1"/>
    <w:rsid w:val="008C7154"/>
    <w:rsid w:val="008D4B2D"/>
    <w:rsid w:val="008D581A"/>
    <w:rsid w:val="008E1AD7"/>
    <w:rsid w:val="008E2147"/>
    <w:rsid w:val="008E44AD"/>
    <w:rsid w:val="008E6ECA"/>
    <w:rsid w:val="008F2098"/>
    <w:rsid w:val="008F5CF1"/>
    <w:rsid w:val="009014DA"/>
    <w:rsid w:val="009033CE"/>
    <w:rsid w:val="00906C02"/>
    <w:rsid w:val="00916527"/>
    <w:rsid w:val="00916D91"/>
    <w:rsid w:val="00917638"/>
    <w:rsid w:val="009206DE"/>
    <w:rsid w:val="00920BAB"/>
    <w:rsid w:val="00924DBD"/>
    <w:rsid w:val="00931C7B"/>
    <w:rsid w:val="00932D12"/>
    <w:rsid w:val="00936E05"/>
    <w:rsid w:val="00941A89"/>
    <w:rsid w:val="00944BBF"/>
    <w:rsid w:val="009459D8"/>
    <w:rsid w:val="0094603F"/>
    <w:rsid w:val="009476B6"/>
    <w:rsid w:val="00947992"/>
    <w:rsid w:val="0095261E"/>
    <w:rsid w:val="00952657"/>
    <w:rsid w:val="00954B21"/>
    <w:rsid w:val="009575E1"/>
    <w:rsid w:val="00961CD9"/>
    <w:rsid w:val="009628FE"/>
    <w:rsid w:val="00964A70"/>
    <w:rsid w:val="00966987"/>
    <w:rsid w:val="00970BC2"/>
    <w:rsid w:val="0097129C"/>
    <w:rsid w:val="00973672"/>
    <w:rsid w:val="00973CBD"/>
    <w:rsid w:val="009745E2"/>
    <w:rsid w:val="00975C32"/>
    <w:rsid w:val="00976775"/>
    <w:rsid w:val="0099040B"/>
    <w:rsid w:val="009977C9"/>
    <w:rsid w:val="00997A44"/>
    <w:rsid w:val="009A6FB4"/>
    <w:rsid w:val="009A73DF"/>
    <w:rsid w:val="009A7578"/>
    <w:rsid w:val="009B21A9"/>
    <w:rsid w:val="009B3615"/>
    <w:rsid w:val="009B6674"/>
    <w:rsid w:val="009C038A"/>
    <w:rsid w:val="009D0A66"/>
    <w:rsid w:val="009D1963"/>
    <w:rsid w:val="009D60F1"/>
    <w:rsid w:val="009E1A18"/>
    <w:rsid w:val="009E5F49"/>
    <w:rsid w:val="009F104F"/>
    <w:rsid w:val="009F1D10"/>
    <w:rsid w:val="009F518D"/>
    <w:rsid w:val="009F75B7"/>
    <w:rsid w:val="009F7DB1"/>
    <w:rsid w:val="00A02A14"/>
    <w:rsid w:val="00A0307B"/>
    <w:rsid w:val="00A04C35"/>
    <w:rsid w:val="00A04E12"/>
    <w:rsid w:val="00A0524E"/>
    <w:rsid w:val="00A05E18"/>
    <w:rsid w:val="00A06F83"/>
    <w:rsid w:val="00A07250"/>
    <w:rsid w:val="00A1191F"/>
    <w:rsid w:val="00A13BED"/>
    <w:rsid w:val="00A159A8"/>
    <w:rsid w:val="00A17DA5"/>
    <w:rsid w:val="00A209FF"/>
    <w:rsid w:val="00A22012"/>
    <w:rsid w:val="00A2321A"/>
    <w:rsid w:val="00A243DC"/>
    <w:rsid w:val="00A2470A"/>
    <w:rsid w:val="00A26320"/>
    <w:rsid w:val="00A26A3D"/>
    <w:rsid w:val="00A27835"/>
    <w:rsid w:val="00A33A03"/>
    <w:rsid w:val="00A37DE5"/>
    <w:rsid w:val="00A41228"/>
    <w:rsid w:val="00A42319"/>
    <w:rsid w:val="00A42AC7"/>
    <w:rsid w:val="00A474EA"/>
    <w:rsid w:val="00A477DD"/>
    <w:rsid w:val="00A526E3"/>
    <w:rsid w:val="00A539C5"/>
    <w:rsid w:val="00A545C9"/>
    <w:rsid w:val="00A55688"/>
    <w:rsid w:val="00A55DAB"/>
    <w:rsid w:val="00A6408C"/>
    <w:rsid w:val="00A71340"/>
    <w:rsid w:val="00A828BC"/>
    <w:rsid w:val="00A86042"/>
    <w:rsid w:val="00A90DC4"/>
    <w:rsid w:val="00A97422"/>
    <w:rsid w:val="00A97A20"/>
    <w:rsid w:val="00AA1D99"/>
    <w:rsid w:val="00AA49B0"/>
    <w:rsid w:val="00AA4EE7"/>
    <w:rsid w:val="00AA52B8"/>
    <w:rsid w:val="00AA799D"/>
    <w:rsid w:val="00AB3C71"/>
    <w:rsid w:val="00AB4168"/>
    <w:rsid w:val="00AB5050"/>
    <w:rsid w:val="00AB777B"/>
    <w:rsid w:val="00AB7A0B"/>
    <w:rsid w:val="00AC3167"/>
    <w:rsid w:val="00AC390B"/>
    <w:rsid w:val="00AC3D38"/>
    <w:rsid w:val="00AD533D"/>
    <w:rsid w:val="00AE01EE"/>
    <w:rsid w:val="00AE0ED5"/>
    <w:rsid w:val="00AE3F7D"/>
    <w:rsid w:val="00AE5E68"/>
    <w:rsid w:val="00AE607B"/>
    <w:rsid w:val="00AE737C"/>
    <w:rsid w:val="00B00C2E"/>
    <w:rsid w:val="00B01158"/>
    <w:rsid w:val="00B02D12"/>
    <w:rsid w:val="00B05314"/>
    <w:rsid w:val="00B061B8"/>
    <w:rsid w:val="00B07447"/>
    <w:rsid w:val="00B075C4"/>
    <w:rsid w:val="00B07887"/>
    <w:rsid w:val="00B079DF"/>
    <w:rsid w:val="00B07AAB"/>
    <w:rsid w:val="00B105BB"/>
    <w:rsid w:val="00B12D4B"/>
    <w:rsid w:val="00B15583"/>
    <w:rsid w:val="00B250FF"/>
    <w:rsid w:val="00B27302"/>
    <w:rsid w:val="00B27BFE"/>
    <w:rsid w:val="00B3143D"/>
    <w:rsid w:val="00B32E77"/>
    <w:rsid w:val="00B330D9"/>
    <w:rsid w:val="00B36CB7"/>
    <w:rsid w:val="00B37D22"/>
    <w:rsid w:val="00B41D60"/>
    <w:rsid w:val="00B47365"/>
    <w:rsid w:val="00B526A2"/>
    <w:rsid w:val="00B5366F"/>
    <w:rsid w:val="00B53D23"/>
    <w:rsid w:val="00B5576F"/>
    <w:rsid w:val="00B57DA8"/>
    <w:rsid w:val="00B600E8"/>
    <w:rsid w:val="00B61915"/>
    <w:rsid w:val="00B640C1"/>
    <w:rsid w:val="00B65D63"/>
    <w:rsid w:val="00B66FFF"/>
    <w:rsid w:val="00B709AF"/>
    <w:rsid w:val="00B731DB"/>
    <w:rsid w:val="00B73697"/>
    <w:rsid w:val="00B73B39"/>
    <w:rsid w:val="00B7514B"/>
    <w:rsid w:val="00B774FA"/>
    <w:rsid w:val="00B83A9F"/>
    <w:rsid w:val="00B85507"/>
    <w:rsid w:val="00B928C7"/>
    <w:rsid w:val="00B93024"/>
    <w:rsid w:val="00B95104"/>
    <w:rsid w:val="00B9581A"/>
    <w:rsid w:val="00BA0894"/>
    <w:rsid w:val="00BA4056"/>
    <w:rsid w:val="00BA5411"/>
    <w:rsid w:val="00BB56AE"/>
    <w:rsid w:val="00BB6AA2"/>
    <w:rsid w:val="00BB7679"/>
    <w:rsid w:val="00BC0CAF"/>
    <w:rsid w:val="00BC4016"/>
    <w:rsid w:val="00BC6C13"/>
    <w:rsid w:val="00BC78F5"/>
    <w:rsid w:val="00BC7EBF"/>
    <w:rsid w:val="00BD05A2"/>
    <w:rsid w:val="00BD06DA"/>
    <w:rsid w:val="00BE1A21"/>
    <w:rsid w:val="00BE398E"/>
    <w:rsid w:val="00BE57B8"/>
    <w:rsid w:val="00BE5890"/>
    <w:rsid w:val="00BE6787"/>
    <w:rsid w:val="00BF0104"/>
    <w:rsid w:val="00BF3CF7"/>
    <w:rsid w:val="00BF461A"/>
    <w:rsid w:val="00C0347B"/>
    <w:rsid w:val="00C058D2"/>
    <w:rsid w:val="00C2317C"/>
    <w:rsid w:val="00C23707"/>
    <w:rsid w:val="00C25667"/>
    <w:rsid w:val="00C27081"/>
    <w:rsid w:val="00C279AD"/>
    <w:rsid w:val="00C371BD"/>
    <w:rsid w:val="00C37CD2"/>
    <w:rsid w:val="00C4165E"/>
    <w:rsid w:val="00C531F1"/>
    <w:rsid w:val="00C56046"/>
    <w:rsid w:val="00C6126D"/>
    <w:rsid w:val="00C65313"/>
    <w:rsid w:val="00C662A7"/>
    <w:rsid w:val="00C76753"/>
    <w:rsid w:val="00C77F5D"/>
    <w:rsid w:val="00C80730"/>
    <w:rsid w:val="00C80787"/>
    <w:rsid w:val="00C812C1"/>
    <w:rsid w:val="00C8235B"/>
    <w:rsid w:val="00C83B30"/>
    <w:rsid w:val="00C83CBC"/>
    <w:rsid w:val="00C94163"/>
    <w:rsid w:val="00C95A9E"/>
    <w:rsid w:val="00C96F08"/>
    <w:rsid w:val="00CA0951"/>
    <w:rsid w:val="00CA42A7"/>
    <w:rsid w:val="00CA71ED"/>
    <w:rsid w:val="00CB0D80"/>
    <w:rsid w:val="00CB229A"/>
    <w:rsid w:val="00CB5CB3"/>
    <w:rsid w:val="00CC6879"/>
    <w:rsid w:val="00CD3B96"/>
    <w:rsid w:val="00CD5ED0"/>
    <w:rsid w:val="00CD7AE2"/>
    <w:rsid w:val="00CE3D28"/>
    <w:rsid w:val="00CE4363"/>
    <w:rsid w:val="00CF06B1"/>
    <w:rsid w:val="00CF1A6F"/>
    <w:rsid w:val="00CF2811"/>
    <w:rsid w:val="00CF52F6"/>
    <w:rsid w:val="00CF7739"/>
    <w:rsid w:val="00CF7B30"/>
    <w:rsid w:val="00D0022A"/>
    <w:rsid w:val="00D031F5"/>
    <w:rsid w:val="00D05BEF"/>
    <w:rsid w:val="00D106C8"/>
    <w:rsid w:val="00D11770"/>
    <w:rsid w:val="00D12E1A"/>
    <w:rsid w:val="00D13A9F"/>
    <w:rsid w:val="00D17464"/>
    <w:rsid w:val="00D223C2"/>
    <w:rsid w:val="00D274AA"/>
    <w:rsid w:val="00D31585"/>
    <w:rsid w:val="00D33809"/>
    <w:rsid w:val="00D35C57"/>
    <w:rsid w:val="00D41833"/>
    <w:rsid w:val="00D46EE0"/>
    <w:rsid w:val="00D47323"/>
    <w:rsid w:val="00D47D3A"/>
    <w:rsid w:val="00D505E2"/>
    <w:rsid w:val="00D52350"/>
    <w:rsid w:val="00D524CE"/>
    <w:rsid w:val="00D52CEE"/>
    <w:rsid w:val="00D63A5A"/>
    <w:rsid w:val="00D701F7"/>
    <w:rsid w:val="00D7026C"/>
    <w:rsid w:val="00D70FB7"/>
    <w:rsid w:val="00D716CD"/>
    <w:rsid w:val="00D75B7B"/>
    <w:rsid w:val="00D80211"/>
    <w:rsid w:val="00D8031C"/>
    <w:rsid w:val="00D844AF"/>
    <w:rsid w:val="00D851AD"/>
    <w:rsid w:val="00D85839"/>
    <w:rsid w:val="00D91DEB"/>
    <w:rsid w:val="00D92F7A"/>
    <w:rsid w:val="00D95F1B"/>
    <w:rsid w:val="00D96731"/>
    <w:rsid w:val="00DA4804"/>
    <w:rsid w:val="00DA481B"/>
    <w:rsid w:val="00DA4A04"/>
    <w:rsid w:val="00DB0EE3"/>
    <w:rsid w:val="00DB20B9"/>
    <w:rsid w:val="00DB4AB8"/>
    <w:rsid w:val="00DB6FC0"/>
    <w:rsid w:val="00DB7A51"/>
    <w:rsid w:val="00DC0538"/>
    <w:rsid w:val="00DC396F"/>
    <w:rsid w:val="00DC4995"/>
    <w:rsid w:val="00DC4ADD"/>
    <w:rsid w:val="00DC4F8D"/>
    <w:rsid w:val="00DC5DAD"/>
    <w:rsid w:val="00DD0E33"/>
    <w:rsid w:val="00DD6227"/>
    <w:rsid w:val="00DD7168"/>
    <w:rsid w:val="00DE3501"/>
    <w:rsid w:val="00DE4A38"/>
    <w:rsid w:val="00DF077A"/>
    <w:rsid w:val="00DF5653"/>
    <w:rsid w:val="00DF6330"/>
    <w:rsid w:val="00DF68BF"/>
    <w:rsid w:val="00DF709E"/>
    <w:rsid w:val="00DF7118"/>
    <w:rsid w:val="00E038C3"/>
    <w:rsid w:val="00E07DDD"/>
    <w:rsid w:val="00E25B90"/>
    <w:rsid w:val="00E277B8"/>
    <w:rsid w:val="00E30F6F"/>
    <w:rsid w:val="00E35239"/>
    <w:rsid w:val="00E35ADD"/>
    <w:rsid w:val="00E37D77"/>
    <w:rsid w:val="00E40419"/>
    <w:rsid w:val="00E42162"/>
    <w:rsid w:val="00E42AE4"/>
    <w:rsid w:val="00E43BFC"/>
    <w:rsid w:val="00E442F4"/>
    <w:rsid w:val="00E46342"/>
    <w:rsid w:val="00E473D9"/>
    <w:rsid w:val="00E47716"/>
    <w:rsid w:val="00E50179"/>
    <w:rsid w:val="00E509BA"/>
    <w:rsid w:val="00E52936"/>
    <w:rsid w:val="00E572AD"/>
    <w:rsid w:val="00E72CD9"/>
    <w:rsid w:val="00E73B90"/>
    <w:rsid w:val="00E76C2C"/>
    <w:rsid w:val="00E7714A"/>
    <w:rsid w:val="00E80AFC"/>
    <w:rsid w:val="00E86787"/>
    <w:rsid w:val="00E869AA"/>
    <w:rsid w:val="00E87820"/>
    <w:rsid w:val="00E904A3"/>
    <w:rsid w:val="00E91F29"/>
    <w:rsid w:val="00E941A2"/>
    <w:rsid w:val="00E954B0"/>
    <w:rsid w:val="00E96682"/>
    <w:rsid w:val="00EA27BE"/>
    <w:rsid w:val="00EA281D"/>
    <w:rsid w:val="00EA542F"/>
    <w:rsid w:val="00EB046E"/>
    <w:rsid w:val="00EB080D"/>
    <w:rsid w:val="00EB313D"/>
    <w:rsid w:val="00EB4735"/>
    <w:rsid w:val="00EB4763"/>
    <w:rsid w:val="00EC0925"/>
    <w:rsid w:val="00EC0CBA"/>
    <w:rsid w:val="00EC50EE"/>
    <w:rsid w:val="00EC5E9E"/>
    <w:rsid w:val="00ED05A0"/>
    <w:rsid w:val="00ED4EBE"/>
    <w:rsid w:val="00EE1015"/>
    <w:rsid w:val="00EE1B0A"/>
    <w:rsid w:val="00EE3611"/>
    <w:rsid w:val="00EE708D"/>
    <w:rsid w:val="00EF33DC"/>
    <w:rsid w:val="00EF48C7"/>
    <w:rsid w:val="00EF5CFD"/>
    <w:rsid w:val="00EF65E9"/>
    <w:rsid w:val="00F00A2B"/>
    <w:rsid w:val="00F123EC"/>
    <w:rsid w:val="00F12579"/>
    <w:rsid w:val="00F13D05"/>
    <w:rsid w:val="00F15AA3"/>
    <w:rsid w:val="00F22275"/>
    <w:rsid w:val="00F30E14"/>
    <w:rsid w:val="00F34DCC"/>
    <w:rsid w:val="00F35465"/>
    <w:rsid w:val="00F419BC"/>
    <w:rsid w:val="00F4221B"/>
    <w:rsid w:val="00F43CB0"/>
    <w:rsid w:val="00F46372"/>
    <w:rsid w:val="00F56532"/>
    <w:rsid w:val="00F56802"/>
    <w:rsid w:val="00F56D8A"/>
    <w:rsid w:val="00F6215A"/>
    <w:rsid w:val="00F678DD"/>
    <w:rsid w:val="00F71AF8"/>
    <w:rsid w:val="00F734D3"/>
    <w:rsid w:val="00F74E88"/>
    <w:rsid w:val="00F809BE"/>
    <w:rsid w:val="00F84966"/>
    <w:rsid w:val="00F9625D"/>
    <w:rsid w:val="00FA0370"/>
    <w:rsid w:val="00FA5EA7"/>
    <w:rsid w:val="00FA7D74"/>
    <w:rsid w:val="00FB21EE"/>
    <w:rsid w:val="00FB2E4A"/>
    <w:rsid w:val="00FB5CB5"/>
    <w:rsid w:val="00FB709E"/>
    <w:rsid w:val="00FB75D9"/>
    <w:rsid w:val="00FC1A52"/>
    <w:rsid w:val="00FC2D44"/>
    <w:rsid w:val="00FC4D8E"/>
    <w:rsid w:val="00FC5A83"/>
    <w:rsid w:val="00FC64DA"/>
    <w:rsid w:val="00FC7CFD"/>
    <w:rsid w:val="00FD009C"/>
    <w:rsid w:val="00FD78BA"/>
    <w:rsid w:val="00FE1483"/>
    <w:rsid w:val="00FE6FBA"/>
    <w:rsid w:val="00FF12ED"/>
    <w:rsid w:val="00FF3A51"/>
    <w:rsid w:val="00FF3AA1"/>
    <w:rsid w:val="00FF462A"/>
    <w:rsid w:val="00FF5160"/>
    <w:rsid w:val="02E09FB6"/>
    <w:rsid w:val="07FB707F"/>
    <w:rsid w:val="10F386C1"/>
    <w:rsid w:val="110EB64E"/>
    <w:rsid w:val="14CD7091"/>
    <w:rsid w:val="16F03743"/>
    <w:rsid w:val="17CD67A3"/>
    <w:rsid w:val="2591C8E7"/>
    <w:rsid w:val="3C53A121"/>
    <w:rsid w:val="41BDB20A"/>
    <w:rsid w:val="485C17D5"/>
    <w:rsid w:val="50438C4A"/>
    <w:rsid w:val="597C1819"/>
    <w:rsid w:val="5D6C95E7"/>
    <w:rsid w:val="670759DE"/>
    <w:rsid w:val="697C3422"/>
    <w:rsid w:val="6AC8A266"/>
    <w:rsid w:val="764CD652"/>
    <w:rsid w:val="78EA4A7E"/>
    <w:rsid w:val="7D7B22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150DC9A"/>
  <w15:chartTrackingRefBased/>
  <w15:docId w15:val="{E32FA02D-0D5D-466E-823D-9E7C9B70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1080" w:hanging="10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ED"/>
    <w:pPr>
      <w:widowControl w:val="0"/>
      <w:ind w:left="0" w:firstLine="0"/>
      <w:contextualSpacing/>
    </w:pPr>
    <w:rPr>
      <w:sz w:val="20"/>
      <w:szCs w:val="20"/>
    </w:rPr>
  </w:style>
  <w:style w:type="paragraph" w:styleId="Heading1">
    <w:name w:val="heading 1"/>
    <w:next w:val="Normal"/>
    <w:link w:val="Heading1Char"/>
    <w:autoRedefine/>
    <w:qFormat/>
    <w:rsid w:val="00CA71ED"/>
    <w:pPr>
      <w:widowControl w:val="0"/>
      <w:numPr>
        <w:numId w:val="37"/>
      </w:numPr>
      <w:contextualSpacing/>
      <w:outlineLvl w:val="0"/>
    </w:pPr>
    <w:rPr>
      <w:rFonts w:ascii="Times New Roman Bold" w:hAnsi="Times New Roman Bold"/>
      <w:b/>
      <w:bCs/>
      <w:caps/>
      <w:sz w:val="20"/>
      <w:szCs w:val="20"/>
    </w:rPr>
  </w:style>
  <w:style w:type="paragraph" w:styleId="Heading2">
    <w:name w:val="heading 2"/>
    <w:next w:val="Normal"/>
    <w:link w:val="Heading2Char"/>
    <w:autoRedefine/>
    <w:qFormat/>
    <w:rsid w:val="00516454"/>
    <w:pPr>
      <w:widowControl w:val="0"/>
      <w:numPr>
        <w:ilvl w:val="1"/>
        <w:numId w:val="37"/>
      </w:numPr>
      <w:contextualSpacing/>
      <w:outlineLvl w:val="1"/>
    </w:pPr>
    <w:rPr>
      <w:bCs/>
    </w:rPr>
  </w:style>
  <w:style w:type="paragraph" w:styleId="Heading3">
    <w:name w:val="heading 3"/>
    <w:link w:val="Heading3Char"/>
    <w:autoRedefine/>
    <w:qFormat/>
    <w:rsid w:val="004211DE"/>
    <w:pPr>
      <w:widowControl w:val="0"/>
      <w:numPr>
        <w:ilvl w:val="2"/>
        <w:numId w:val="37"/>
      </w:numPr>
      <w:contextualSpacing/>
      <w:outlineLvl w:val="2"/>
    </w:pPr>
    <w:rPr>
      <w:bCs/>
    </w:rPr>
  </w:style>
  <w:style w:type="paragraph" w:styleId="Heading4">
    <w:name w:val="heading 4"/>
    <w:basedOn w:val="Normal"/>
    <w:link w:val="Heading4Char"/>
    <w:autoRedefine/>
    <w:qFormat/>
    <w:rsid w:val="00CA71ED"/>
    <w:pPr>
      <w:numPr>
        <w:ilvl w:val="3"/>
        <w:numId w:val="37"/>
      </w:numPr>
      <w:tabs>
        <w:tab w:val="right" w:leader="dot" w:pos="10080"/>
      </w:tabs>
      <w:outlineLvl w:val="3"/>
    </w:pPr>
    <w:rPr>
      <w:bCs/>
      <w:szCs w:val="24"/>
    </w:rPr>
  </w:style>
  <w:style w:type="paragraph" w:styleId="Heading5">
    <w:name w:val="heading 5"/>
    <w:next w:val="Heading4"/>
    <w:link w:val="Heading5Char"/>
    <w:autoRedefine/>
    <w:qFormat/>
    <w:rsid w:val="00CA71ED"/>
    <w:pPr>
      <w:widowControl w:val="0"/>
      <w:numPr>
        <w:ilvl w:val="4"/>
        <w:numId w:val="37"/>
      </w:numPr>
      <w:tabs>
        <w:tab w:val="clear" w:pos="1080"/>
      </w:tabs>
      <w:contextualSpacing/>
      <w:outlineLvl w:val="4"/>
    </w:pPr>
    <w:rPr>
      <w:bCs/>
      <w:sz w:val="20"/>
      <w:szCs w:val="20"/>
    </w:rPr>
  </w:style>
  <w:style w:type="paragraph" w:styleId="Heading6">
    <w:name w:val="heading 6"/>
    <w:basedOn w:val="Normal"/>
    <w:link w:val="Heading6Char"/>
    <w:autoRedefine/>
    <w:qFormat/>
    <w:rsid w:val="00CA71ED"/>
    <w:pPr>
      <w:numPr>
        <w:ilvl w:val="5"/>
        <w:numId w:val="37"/>
      </w:numPr>
      <w:tabs>
        <w:tab w:val="clear" w:pos="1440"/>
      </w:tabs>
      <w:outlineLvl w:val="5"/>
    </w:pPr>
    <w:rPr>
      <w:bCs/>
    </w:rPr>
  </w:style>
  <w:style w:type="paragraph" w:styleId="Heading7">
    <w:name w:val="heading 7"/>
    <w:basedOn w:val="Normal"/>
    <w:next w:val="Normal"/>
    <w:link w:val="Heading7Char"/>
    <w:autoRedefine/>
    <w:rsid w:val="001324B9"/>
    <w:pPr>
      <w:numPr>
        <w:ilvl w:val="6"/>
        <w:numId w:val="37"/>
      </w:numPr>
      <w:outlineLvl w:val="6"/>
    </w:pPr>
    <w:rPr>
      <w:bCs/>
      <w:szCs w:val="24"/>
    </w:rPr>
  </w:style>
  <w:style w:type="paragraph" w:styleId="Heading8">
    <w:name w:val="heading 8"/>
    <w:basedOn w:val="Normal"/>
    <w:next w:val="Normal"/>
    <w:link w:val="Heading8Char"/>
    <w:uiPriority w:val="9"/>
    <w:unhideWhenUsed/>
    <w:rsid w:val="001324B9"/>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1324B9"/>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1ED"/>
    <w:rPr>
      <w:rFonts w:ascii="Times New Roman Bold" w:hAnsi="Times New Roman Bold"/>
      <w:b/>
      <w:bCs/>
      <w:caps/>
      <w:sz w:val="20"/>
      <w:szCs w:val="20"/>
    </w:rPr>
  </w:style>
  <w:style w:type="character" w:customStyle="1" w:styleId="Heading2Char">
    <w:name w:val="Heading 2 Char"/>
    <w:basedOn w:val="DefaultParagraphFont"/>
    <w:link w:val="Heading2"/>
    <w:rsid w:val="00516454"/>
    <w:rPr>
      <w:bCs/>
    </w:rPr>
  </w:style>
  <w:style w:type="character" w:customStyle="1" w:styleId="Heading3Char">
    <w:name w:val="Heading 3 Char"/>
    <w:basedOn w:val="DefaultParagraphFont"/>
    <w:link w:val="Heading3"/>
    <w:rsid w:val="004211DE"/>
    <w:rPr>
      <w:bCs/>
    </w:rPr>
  </w:style>
  <w:style w:type="character" w:customStyle="1" w:styleId="Heading6Char">
    <w:name w:val="Heading 6 Char"/>
    <w:basedOn w:val="DefaultParagraphFont"/>
    <w:link w:val="Heading6"/>
    <w:rsid w:val="00CA71ED"/>
    <w:rPr>
      <w:bCs/>
      <w:sz w:val="20"/>
      <w:szCs w:val="20"/>
    </w:rPr>
  </w:style>
  <w:style w:type="character" w:customStyle="1" w:styleId="Heading7Char">
    <w:name w:val="Heading 7 Char"/>
    <w:basedOn w:val="DefaultParagraphFont"/>
    <w:link w:val="Heading7"/>
    <w:rsid w:val="001324B9"/>
    <w:rPr>
      <w:bCs/>
      <w:sz w:val="20"/>
    </w:rPr>
  </w:style>
  <w:style w:type="character" w:customStyle="1" w:styleId="Heading4Char">
    <w:name w:val="Heading 4 Char"/>
    <w:basedOn w:val="DefaultParagraphFont"/>
    <w:link w:val="Heading4"/>
    <w:rsid w:val="00CA71ED"/>
    <w:rPr>
      <w:bCs/>
      <w:sz w:val="20"/>
    </w:rPr>
  </w:style>
  <w:style w:type="character" w:styleId="Hyperlink">
    <w:name w:val="Hyperlink"/>
    <w:basedOn w:val="DefaultParagraphFont"/>
    <w:uiPriority w:val="99"/>
    <w:rsid w:val="0028370B"/>
    <w:rPr>
      <w:color w:val="0000FF"/>
      <w:u w:val="single"/>
    </w:rPr>
  </w:style>
  <w:style w:type="paragraph" w:styleId="TOC1">
    <w:name w:val="toc 1"/>
    <w:basedOn w:val="Normal"/>
    <w:next w:val="Normal"/>
    <w:uiPriority w:val="39"/>
    <w:unhideWhenUsed/>
    <w:rsid w:val="0028370B"/>
    <w:pPr>
      <w:spacing w:after="100"/>
      <w:ind w:left="720" w:hanging="720"/>
    </w:pPr>
  </w:style>
  <w:style w:type="character" w:customStyle="1" w:styleId="Heading5Char">
    <w:name w:val="Heading 5 Char"/>
    <w:basedOn w:val="DefaultParagraphFont"/>
    <w:link w:val="Heading5"/>
    <w:rsid w:val="00CA71ED"/>
    <w:rPr>
      <w:bCs/>
      <w:sz w:val="20"/>
      <w:szCs w:val="20"/>
    </w:rPr>
  </w:style>
  <w:style w:type="paragraph" w:styleId="Header">
    <w:name w:val="header"/>
    <w:basedOn w:val="Normal"/>
    <w:link w:val="HeaderChar"/>
    <w:uiPriority w:val="99"/>
    <w:unhideWhenUsed/>
    <w:rsid w:val="0028370B"/>
    <w:pPr>
      <w:tabs>
        <w:tab w:val="center" w:pos="4680"/>
        <w:tab w:val="right" w:pos="9360"/>
      </w:tabs>
    </w:pPr>
  </w:style>
  <w:style w:type="character" w:customStyle="1" w:styleId="HeaderChar">
    <w:name w:val="Header Char"/>
    <w:basedOn w:val="DefaultParagraphFont"/>
    <w:link w:val="Header"/>
    <w:uiPriority w:val="99"/>
    <w:rsid w:val="0028370B"/>
    <w:rPr>
      <w:sz w:val="20"/>
    </w:rPr>
  </w:style>
  <w:style w:type="paragraph" w:styleId="Footer">
    <w:name w:val="footer"/>
    <w:basedOn w:val="Normal"/>
    <w:link w:val="FooterChar"/>
    <w:uiPriority w:val="99"/>
    <w:unhideWhenUsed/>
    <w:rsid w:val="0028370B"/>
    <w:pPr>
      <w:tabs>
        <w:tab w:val="center" w:pos="4680"/>
        <w:tab w:val="right" w:pos="9360"/>
      </w:tabs>
    </w:pPr>
  </w:style>
  <w:style w:type="character" w:customStyle="1" w:styleId="FooterChar">
    <w:name w:val="Footer Char"/>
    <w:basedOn w:val="DefaultParagraphFont"/>
    <w:link w:val="Footer"/>
    <w:uiPriority w:val="99"/>
    <w:rsid w:val="0028370B"/>
    <w:rPr>
      <w:sz w:val="20"/>
    </w:rPr>
  </w:style>
  <w:style w:type="numbering" w:customStyle="1" w:styleId="2022RFP">
    <w:name w:val="2022 RFP"/>
    <w:uiPriority w:val="99"/>
    <w:rsid w:val="001324B9"/>
    <w:pPr>
      <w:numPr>
        <w:numId w:val="28"/>
      </w:numPr>
    </w:pPr>
  </w:style>
  <w:style w:type="character" w:customStyle="1" w:styleId="Heading8Char">
    <w:name w:val="Heading 8 Char"/>
    <w:basedOn w:val="DefaultParagraphFont"/>
    <w:link w:val="Heading8"/>
    <w:uiPriority w:val="9"/>
    <w:rsid w:val="001324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324B9"/>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C6C13"/>
    <w:rPr>
      <w:color w:val="605E5C"/>
      <w:shd w:val="clear" w:color="auto" w:fill="E1DFDD"/>
    </w:rPr>
  </w:style>
  <w:style w:type="paragraph" w:styleId="ListParagraph">
    <w:name w:val="List Paragraph"/>
    <w:basedOn w:val="Normal"/>
    <w:uiPriority w:val="34"/>
    <w:qFormat/>
    <w:rsid w:val="005E125D"/>
    <w:pPr>
      <w:widowControl/>
      <w:ind w:left="720"/>
    </w:pPr>
    <w:rPr>
      <w:rFonts w:ascii="Arial" w:eastAsia="Times New Roman" w:hAnsi="Arial"/>
      <w:sz w:val="24"/>
      <w:szCs w:val="24"/>
    </w:rPr>
  </w:style>
  <w:style w:type="paragraph" w:styleId="BodyText3">
    <w:name w:val="Body Text 3"/>
    <w:basedOn w:val="Normal"/>
    <w:link w:val="BodyText3Char"/>
    <w:rsid w:val="00314349"/>
    <w:pPr>
      <w:widowControl/>
      <w:contextualSpacing w:val="0"/>
    </w:pPr>
    <w:rPr>
      <w:rFonts w:eastAsia="Times New Roman"/>
    </w:rPr>
  </w:style>
  <w:style w:type="character" w:customStyle="1" w:styleId="BodyText3Char">
    <w:name w:val="Body Text 3 Char"/>
    <w:basedOn w:val="DefaultParagraphFont"/>
    <w:link w:val="BodyText3"/>
    <w:rsid w:val="00314349"/>
    <w:rPr>
      <w:rFonts w:eastAsia="Times New Roman"/>
      <w:sz w:val="20"/>
      <w:szCs w:val="20"/>
    </w:rPr>
  </w:style>
  <w:style w:type="table" w:customStyle="1" w:styleId="TableGrid1">
    <w:name w:val="Table Grid1"/>
    <w:basedOn w:val="TableNormal"/>
    <w:next w:val="TableGrid"/>
    <w:rsid w:val="00FE6FBA"/>
    <w:pPr>
      <w:ind w:left="0" w:firstLine="0"/>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E6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46A1"/>
    <w:rPr>
      <w:b/>
      <w:bCs/>
    </w:rPr>
  </w:style>
  <w:style w:type="character" w:customStyle="1" w:styleId="CommentSubjectChar">
    <w:name w:val="Comment Subject Char"/>
    <w:basedOn w:val="CommentTextChar"/>
    <w:link w:val="CommentSubject"/>
    <w:uiPriority w:val="99"/>
    <w:semiHidden/>
    <w:rsid w:val="008C4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vadatreasurer.gov/documents/debt/Debt%20Management%20Policy-Feb%202024.pdf" TargetMode="External"/><Relationship Id="rId18" Type="http://schemas.openxmlformats.org/officeDocument/2006/relationships/oleObject" Target="embeddings/oleObject2.bin"/><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www.leg.state.nv.us/law1.cfm" TargetMode="Externa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package" Target="embeddings/Microsoft_Word_Document1.docx"/><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vsos.gov" TargetMode="External"/><Relationship Id="rId22" Type="http://schemas.openxmlformats.org/officeDocument/2006/relationships/package" Target="embeddings/Microsoft_Word_Document.docx"/><Relationship Id="rId27" Type="http://schemas.openxmlformats.org/officeDocument/2006/relationships/image" Target="media/image8.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davis\Documents\Custom%20Office%20Templates\2022%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CABEDDC28A740988AB8640DB23E0E" ma:contentTypeVersion="14" ma:contentTypeDescription="Create a new document." ma:contentTypeScope="" ma:versionID="bb630ac6c68cc84e67b7b9f9865e092c">
  <xsd:schema xmlns:xsd="http://www.w3.org/2001/XMLSchema" xmlns:xs="http://www.w3.org/2001/XMLSchema" xmlns:p="http://schemas.microsoft.com/office/2006/metadata/properties" xmlns:ns2="9a0b2431-5864-4d02-97ab-c94267af247d" xmlns:ns3="96a86dca-6484-4f13-816d-ce47a6077dd6" targetNamespace="http://schemas.microsoft.com/office/2006/metadata/properties" ma:root="true" ma:fieldsID="bfb684e7d1cf11a79ba1104879b18b26" ns2:_="" ns3:_="">
    <xsd:import namespace="9a0b2431-5864-4d02-97ab-c94267af247d"/>
    <xsd:import namespace="96a86dca-6484-4f13-816d-ce47a6077d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b2431-5864-4d02-97ab-c94267af2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86dca-6484-4f13-816d-ce47a6077dd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985b868-dc86-49f2-82ed-7851c789a945}" ma:internalName="TaxCatchAll" ma:showField="CatchAllData" ma:web="96a86dca-6484-4f13-816d-ce47a6077d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0b2431-5864-4d02-97ab-c94267af247d">
      <Terms xmlns="http://schemas.microsoft.com/office/infopath/2007/PartnerControls"/>
    </lcf76f155ced4ddcb4097134ff3c332f>
    <TaxCatchAll xmlns="96a86dca-6484-4f13-816d-ce47a6077dd6" xsi:nil="true"/>
  </documentManagement>
</p:properties>
</file>

<file path=customXml/itemProps1.xml><?xml version="1.0" encoding="utf-8"?>
<ds:datastoreItem xmlns:ds="http://schemas.openxmlformats.org/officeDocument/2006/customXml" ds:itemID="{81984E66-19C0-400B-B34F-B0E9F2C0C535}">
  <ds:schemaRefs>
    <ds:schemaRef ds:uri="http://schemas.microsoft.com/sharepoint/v3/contenttype/forms"/>
  </ds:schemaRefs>
</ds:datastoreItem>
</file>

<file path=customXml/itemProps2.xml><?xml version="1.0" encoding="utf-8"?>
<ds:datastoreItem xmlns:ds="http://schemas.openxmlformats.org/officeDocument/2006/customXml" ds:itemID="{F022A057-83BC-4F84-A08D-90993CF21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b2431-5864-4d02-97ab-c94267af247d"/>
    <ds:schemaRef ds:uri="96a86dca-6484-4f13-816d-ce47a6077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93ACF-CA12-4B3D-AAF7-4D505F41C866}">
  <ds:schemaRefs>
    <ds:schemaRef ds:uri="http://schemas.openxmlformats.org/officeDocument/2006/bibliography"/>
  </ds:schemaRefs>
</ds:datastoreItem>
</file>

<file path=customXml/itemProps4.xml><?xml version="1.0" encoding="utf-8"?>
<ds:datastoreItem xmlns:ds="http://schemas.openxmlformats.org/officeDocument/2006/customXml" ds:itemID="{9B798A89-EA1C-4E25-A8E8-3179D83C4072}">
  <ds:schemaRefs>
    <ds:schemaRef ds:uri="http://schemas.microsoft.com/office/2006/metadata/properties"/>
    <ds:schemaRef ds:uri="http://schemas.microsoft.com/office/infopath/2007/PartnerControls"/>
    <ds:schemaRef ds:uri="9a0b2431-5864-4d02-97ab-c94267af247d"/>
    <ds:schemaRef ds:uri="96a86dca-6484-4f13-816d-ce47a6077dd6"/>
  </ds:schemaRefs>
</ds:datastoreItem>
</file>

<file path=docProps/app.xml><?xml version="1.0" encoding="utf-8"?>
<Properties xmlns="http://schemas.openxmlformats.org/officeDocument/2006/extended-properties" xmlns:vt="http://schemas.openxmlformats.org/officeDocument/2006/docPropsVTypes">
  <Template>2022 RFP Template</Template>
  <TotalTime>34</TotalTime>
  <Pages>18</Pages>
  <Words>5974</Words>
  <Characters>34052</Characters>
  <Application>Microsoft Office Word</Application>
  <DocSecurity>0</DocSecurity>
  <Lines>283</Lines>
  <Paragraphs>79</Paragraphs>
  <ScaleCrop>false</ScaleCrop>
  <Company/>
  <LinksUpToDate>false</LinksUpToDate>
  <CharactersWithSpaces>39947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DeLoach</dc:creator>
  <cp:keywords/>
  <dc:description/>
  <cp:lastModifiedBy>Cari Eaton</cp:lastModifiedBy>
  <cp:revision>157</cp:revision>
  <cp:lastPrinted>2021-03-03T00:07:00Z</cp:lastPrinted>
  <dcterms:created xsi:type="dcterms:W3CDTF">2024-03-04T21:00:00Z</dcterms:created>
  <dcterms:modified xsi:type="dcterms:W3CDTF">2024-03-12T17:25:00Z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0x010100A5BCABEDDC28A740988AB8640DB23E0E</vt:lpwstr>
  </property>
  <property fmtid="{D5CDD505-2E9C-101B-9397-08002B2CF9AE}" pid="3" name="MediaServiceImageTags">
    <vt:lpwstr/>
  </property>
</Properties>
</file>